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12" w:rsidRDefault="00F85C8D">
      <w:pPr>
        <w:pStyle w:val="a3"/>
        <w:ind w:left="32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956656" cy="74066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656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2" w:rsidRDefault="00300E12">
      <w:pPr>
        <w:pStyle w:val="a3"/>
        <w:spacing w:before="4"/>
        <w:rPr>
          <w:rFonts w:ascii="Times New Roman"/>
          <w:sz w:val="12"/>
        </w:rPr>
      </w:pPr>
    </w:p>
    <w:p w:rsidR="00300E12" w:rsidRDefault="00300E12">
      <w:pPr>
        <w:rPr>
          <w:rFonts w:ascii="Times New Roman"/>
          <w:sz w:val="12"/>
        </w:rPr>
        <w:sectPr w:rsidR="00300E12">
          <w:footerReference w:type="default" r:id="rId9"/>
          <w:pgSz w:w="11910" w:h="16840"/>
          <w:pgMar w:top="840" w:right="520" w:bottom="640" w:left="1380" w:header="0" w:footer="455" w:gutter="0"/>
          <w:pgNumType w:start="1"/>
          <w:cols w:space="720"/>
        </w:sectPr>
      </w:pPr>
    </w:p>
    <w:p w:rsidR="00300E12" w:rsidRDefault="00F85C8D">
      <w:pPr>
        <w:pStyle w:val="2"/>
        <w:spacing w:before="94" w:line="252" w:lineRule="exact"/>
        <w:jc w:val="left"/>
      </w:pPr>
      <w:r>
        <w:lastRenderedPageBreak/>
        <w:t>Заказчик:</w:t>
      </w:r>
    </w:p>
    <w:p w:rsidR="00300E12" w:rsidRDefault="00F85C8D">
      <w:pPr>
        <w:pStyle w:val="a3"/>
        <w:spacing w:line="252" w:lineRule="exact"/>
        <w:ind w:left="322"/>
      </w:pPr>
      <w:r>
        <w:t xml:space="preserve">Ассоциация </w:t>
      </w:r>
      <w:proofErr w:type="gramStart"/>
      <w:r>
        <w:t>добросовестных</w:t>
      </w:r>
      <w:proofErr w:type="gramEnd"/>
    </w:p>
    <w:p w:rsidR="00300E12" w:rsidRDefault="00F85C8D">
      <w:pPr>
        <w:pStyle w:val="a3"/>
        <w:spacing w:before="1"/>
        <w:ind w:left="322"/>
      </w:pPr>
      <w:r>
        <w:t>предпринимателей Тверской области</w:t>
      </w:r>
    </w:p>
    <w:p w:rsidR="00300E12" w:rsidRDefault="00F85C8D">
      <w:pPr>
        <w:pStyle w:val="2"/>
        <w:spacing w:before="94" w:line="252" w:lineRule="exact"/>
        <w:jc w:val="left"/>
      </w:pPr>
      <w:r>
        <w:rPr>
          <w:b w:val="0"/>
        </w:rPr>
        <w:br w:type="column"/>
      </w:r>
      <w:r>
        <w:lastRenderedPageBreak/>
        <w:t>Исполнители:</w:t>
      </w:r>
    </w:p>
    <w:p w:rsidR="00300E12" w:rsidRDefault="00F85C8D">
      <w:pPr>
        <w:pStyle w:val="a3"/>
        <w:ind w:left="322" w:right="1018"/>
      </w:pPr>
      <w:r>
        <w:t>Институт институциональных проблем ООО «Право и Коммерция»</w:t>
      </w:r>
    </w:p>
    <w:p w:rsidR="00300E12" w:rsidRDefault="00300E12">
      <w:pPr>
        <w:sectPr w:rsidR="00300E12">
          <w:type w:val="continuous"/>
          <w:pgSz w:w="11910" w:h="16840"/>
          <w:pgMar w:top="1060" w:right="520" w:bottom="280" w:left="1380" w:header="720" w:footer="720" w:gutter="0"/>
          <w:cols w:num="2" w:space="720" w:equalWidth="0">
            <w:col w:w="4239" w:space="435"/>
            <w:col w:w="5336"/>
          </w:cols>
        </w:sect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rPr>
          <w:sz w:val="20"/>
        </w:rPr>
      </w:pPr>
    </w:p>
    <w:p w:rsidR="00300E12" w:rsidRDefault="00300E12">
      <w:pPr>
        <w:pStyle w:val="a3"/>
        <w:spacing w:before="3"/>
        <w:rPr>
          <w:sz w:val="17"/>
        </w:rPr>
      </w:pPr>
    </w:p>
    <w:p w:rsidR="00300E12" w:rsidRDefault="00F85C8D">
      <w:pPr>
        <w:pStyle w:val="1"/>
        <w:spacing w:before="92"/>
        <w:ind w:right="2007"/>
      </w:pPr>
      <w:r>
        <w:t>КРАТКИЙ ОТЧЕТ</w:t>
      </w:r>
    </w:p>
    <w:p w:rsidR="00300E12" w:rsidRDefault="00F85C8D">
      <w:pPr>
        <w:spacing w:before="121"/>
        <w:ind w:left="2001" w:right="2011"/>
        <w:jc w:val="center"/>
        <w:rPr>
          <w:b/>
          <w:sz w:val="24"/>
        </w:rPr>
      </w:pPr>
      <w:r>
        <w:rPr>
          <w:b/>
          <w:sz w:val="24"/>
        </w:rPr>
        <w:t>социологического исследования в рамках Акции</w:t>
      </w:r>
    </w:p>
    <w:p w:rsidR="00300E12" w:rsidRDefault="00F85C8D">
      <w:pPr>
        <w:pStyle w:val="1"/>
        <w:ind w:right="2012"/>
      </w:pPr>
      <w:r>
        <w:t>«Ликвидация системы оплаты «с карты на карту» среди субъектов МСП Тверской области»</w:t>
      </w: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6"/>
        </w:rPr>
      </w:pPr>
    </w:p>
    <w:p w:rsidR="00300E12" w:rsidRDefault="00300E12">
      <w:pPr>
        <w:pStyle w:val="a3"/>
        <w:rPr>
          <w:b/>
          <w:sz w:val="27"/>
        </w:rPr>
      </w:pPr>
    </w:p>
    <w:p w:rsidR="00300E12" w:rsidRDefault="00F85C8D">
      <w:pPr>
        <w:pStyle w:val="a3"/>
        <w:ind w:left="3615" w:right="3623"/>
        <w:jc w:val="center"/>
      </w:pPr>
      <w:r>
        <w:t>Тверская область, г. Тверь Июль 2020 г.</w:t>
      </w:r>
    </w:p>
    <w:p w:rsidR="00300E12" w:rsidRDefault="00300E12">
      <w:pPr>
        <w:jc w:val="center"/>
        <w:sectPr w:rsidR="00300E12">
          <w:type w:val="continuous"/>
          <w:pgSz w:w="11910" w:h="16840"/>
          <w:pgMar w:top="1060" w:right="520" w:bottom="280" w:left="1380" w:header="720" w:footer="720" w:gutter="0"/>
          <w:cols w:space="720"/>
        </w:sectPr>
      </w:pPr>
    </w:p>
    <w:p w:rsidR="00300E12" w:rsidRDefault="00F85C8D">
      <w:pPr>
        <w:pStyle w:val="2"/>
        <w:jc w:val="left"/>
      </w:pPr>
      <w:r>
        <w:lastRenderedPageBreak/>
        <w:t>Содержание:</w:t>
      </w:r>
    </w:p>
    <w:p w:rsidR="00300E12" w:rsidRDefault="00F85C8D">
      <w:pPr>
        <w:tabs>
          <w:tab w:val="left" w:leader="dot" w:pos="8891"/>
        </w:tabs>
        <w:spacing w:before="119"/>
        <w:ind w:left="322"/>
      </w:pPr>
      <w:r>
        <w:rPr>
          <w:b/>
        </w:rPr>
        <w:t xml:space="preserve">1. </w:t>
      </w:r>
      <w:r>
        <w:rPr>
          <w:b/>
          <w:spacing w:val="50"/>
        </w:rPr>
        <w:t xml:space="preserve"> </w:t>
      </w:r>
      <w:r>
        <w:rPr>
          <w:b/>
        </w:rPr>
        <w:t>Введение</w:t>
      </w:r>
      <w:proofErr w:type="gramStart"/>
      <w:r>
        <w:rPr>
          <w:b/>
        </w:rPr>
        <w:tab/>
      </w:r>
      <w:r>
        <w:t>С</w:t>
      </w:r>
      <w:proofErr w:type="gramEnd"/>
      <w:r>
        <w:t>тр.</w:t>
      </w:r>
      <w:r>
        <w:rPr>
          <w:spacing w:val="1"/>
        </w:rPr>
        <w:t xml:space="preserve"> </w:t>
      </w:r>
      <w:r>
        <w:t>3</w:t>
      </w:r>
    </w:p>
    <w:p w:rsidR="00300E12" w:rsidRDefault="00F85C8D">
      <w:pPr>
        <w:spacing w:before="119"/>
        <w:ind w:left="322"/>
      </w:pPr>
      <w:r>
        <w:rPr>
          <w:b/>
        </w:rPr>
        <w:t>2.   Обоснование</w:t>
      </w:r>
      <w:r>
        <w:t>……………………………………………………………………………...   Стр.</w:t>
      </w:r>
      <w:r>
        <w:rPr>
          <w:spacing w:val="-37"/>
        </w:rPr>
        <w:t xml:space="preserve"> </w:t>
      </w:r>
      <w:r>
        <w:t>4</w:t>
      </w:r>
    </w:p>
    <w:p w:rsidR="00300E12" w:rsidRDefault="00F85C8D">
      <w:pPr>
        <w:spacing w:before="122"/>
        <w:ind w:left="322"/>
      </w:pPr>
      <w:r>
        <w:rPr>
          <w:b/>
        </w:rPr>
        <w:t>3.   Статистика</w:t>
      </w:r>
      <w:proofErr w:type="gramStart"/>
      <w:r>
        <w:t>…………………………………………………………………………………  С</w:t>
      </w:r>
      <w:proofErr w:type="gramEnd"/>
      <w:r>
        <w:t>тр.</w:t>
      </w:r>
      <w:r>
        <w:rPr>
          <w:spacing w:val="17"/>
        </w:rPr>
        <w:t xml:space="preserve"> </w:t>
      </w:r>
      <w:r>
        <w:t>6</w:t>
      </w:r>
    </w:p>
    <w:p w:rsidR="00300E12" w:rsidRDefault="00F85C8D">
      <w:pPr>
        <w:tabs>
          <w:tab w:val="left" w:pos="8891"/>
        </w:tabs>
        <w:spacing w:before="119"/>
        <w:ind w:left="322"/>
      </w:pPr>
      <w:r>
        <w:rPr>
          <w:b/>
        </w:rPr>
        <w:t xml:space="preserve">4. </w:t>
      </w:r>
      <w:r>
        <w:rPr>
          <w:b/>
          <w:spacing w:val="48"/>
        </w:rPr>
        <w:t xml:space="preserve"> </w:t>
      </w:r>
      <w:r>
        <w:rPr>
          <w:b/>
        </w:rPr>
        <w:t>Выводы</w:t>
      </w:r>
      <w:r>
        <w:rPr>
          <w:b/>
          <w:spacing w:val="-2"/>
        </w:rPr>
        <w:t xml:space="preserve"> </w:t>
      </w:r>
      <w:r>
        <w:t>….………,………………………………………………………………………</w:t>
      </w:r>
      <w:r>
        <w:tab/>
        <w:t>Стр.</w:t>
      </w:r>
      <w:r>
        <w:rPr>
          <w:spacing w:val="1"/>
        </w:rPr>
        <w:t xml:space="preserve"> </w:t>
      </w:r>
      <w:r>
        <w:t>8</w:t>
      </w:r>
    </w:p>
    <w:p w:rsidR="00300E12" w:rsidRDefault="00300E12">
      <w:pPr>
        <w:sectPr w:rsidR="00300E12">
          <w:pgSz w:w="11910" w:h="16840"/>
          <w:pgMar w:top="760" w:right="520" w:bottom="640" w:left="1380" w:header="0" w:footer="455" w:gutter="0"/>
          <w:cols w:space="720"/>
        </w:sectPr>
      </w:pPr>
    </w:p>
    <w:p w:rsidR="00300E12" w:rsidRDefault="00F85C8D">
      <w:pPr>
        <w:pStyle w:val="2"/>
        <w:numPr>
          <w:ilvl w:val="0"/>
          <w:numId w:val="4"/>
        </w:numPr>
        <w:tabs>
          <w:tab w:val="left" w:pos="680"/>
        </w:tabs>
        <w:jc w:val="both"/>
      </w:pPr>
      <w:r>
        <w:lastRenderedPageBreak/>
        <w:t>Введение.</w:t>
      </w:r>
    </w:p>
    <w:p w:rsidR="00300E12" w:rsidRDefault="00F85C8D">
      <w:pPr>
        <w:pStyle w:val="a3"/>
        <w:spacing w:before="119"/>
        <w:ind w:left="322" w:right="324"/>
        <w:jc w:val="both"/>
      </w:pPr>
      <w:r>
        <w:t>Малое и среднее предпринимательство (далее по тексту – МСП) может выступить в качестве основного драйвера экономического, социального и инновационного развития, сыграть особую роль в обеспечении экономической стабильности Российской Федерации. Обладая неог</w:t>
      </w:r>
      <w:r>
        <w:t>раниченным потенциалом, МСП может стать стратегическим ресурсом, который способен решить ключевые проблемы экономического роста государства, обеспечив стабильную положительную динамику.</w:t>
      </w:r>
    </w:p>
    <w:p w:rsidR="00300E12" w:rsidRDefault="00F85C8D">
      <w:pPr>
        <w:pStyle w:val="a3"/>
        <w:spacing w:before="120"/>
        <w:ind w:left="322" w:right="323"/>
        <w:jc w:val="both"/>
      </w:pPr>
      <w:r>
        <w:t xml:space="preserve">МСП всегда находилось в центре внимания государственных институтов по </w:t>
      </w:r>
      <w:r>
        <w:t>всему миру на протяжении последних десятилетий, т.к. предприниматели способны ускорить экономическое развитие посредством генерирования новых высокопотенциальных идей и обеспечить их практическую реализацию рыночными инвестициями, без государственных префе</w:t>
      </w:r>
      <w:r>
        <w:t>ренций.</w:t>
      </w:r>
    </w:p>
    <w:p w:rsidR="00300E12" w:rsidRDefault="00F85C8D">
      <w:pPr>
        <w:pStyle w:val="a3"/>
        <w:spacing w:before="120"/>
        <w:ind w:left="322" w:right="323"/>
        <w:jc w:val="both"/>
      </w:pPr>
      <w:r>
        <w:t>Предпринимательская деятельность подразумевает не только создание инноваций, она обеспечивает формирование рабочих мест для трудоспособного населения, вносит ощутимый вклад в В</w:t>
      </w:r>
      <w:proofErr w:type="gramStart"/>
      <w:r>
        <w:t>ВП стр</w:t>
      </w:r>
      <w:proofErr w:type="gramEnd"/>
      <w:r>
        <w:t>аны и формирует здоровую конкурентную среду.</w:t>
      </w:r>
    </w:p>
    <w:p w:rsidR="00300E12" w:rsidRDefault="00F85C8D">
      <w:pPr>
        <w:pStyle w:val="a3"/>
        <w:spacing w:before="121"/>
        <w:ind w:left="322" w:right="328"/>
        <w:jc w:val="both"/>
      </w:pPr>
      <w:r>
        <w:t xml:space="preserve">В рамках Федеральной программы «Я предприниматель!» Ассоциация добросовестных предпринимателей Тверской области провела исследование стационарных объектов торговли и оказания услуг г. Твери на предмет </w:t>
      </w:r>
      <w:proofErr w:type="gramStart"/>
      <w:r>
        <w:t>выявления фактов использования незаконных методов прием</w:t>
      </w:r>
      <w:r>
        <w:t>а оплаты</w:t>
      </w:r>
      <w:proofErr w:type="gramEnd"/>
      <w:r>
        <w:t xml:space="preserve"> от физических лиц за реализуемые товары и/или оказанные услуги.</w:t>
      </w:r>
    </w:p>
    <w:p w:rsidR="00300E12" w:rsidRDefault="00F85C8D">
      <w:pPr>
        <w:pStyle w:val="a3"/>
        <w:spacing w:before="121"/>
        <w:ind w:left="322" w:right="323"/>
        <w:jc w:val="both"/>
      </w:pPr>
      <w:proofErr w:type="gramStart"/>
      <w:r>
        <w:t xml:space="preserve">На основании анализа предварительных данных констатируем, что определенная часть субъектов МСП при безналичном расчете с населением использует вместо торгового </w:t>
      </w:r>
      <w:proofErr w:type="spellStart"/>
      <w:r>
        <w:t>эквайринга</w:t>
      </w:r>
      <w:proofErr w:type="spellEnd"/>
      <w:r>
        <w:t xml:space="preserve"> переводы на </w:t>
      </w:r>
      <w:r>
        <w:t>карты физических лиц, что является нарушением действующего законодательства РФ, а также недобросовестной конкуренцией по отношению к предпринимателям, использующим для приема платежей законные методы оплаты за реализуемые товары и/или услуги.</w:t>
      </w:r>
      <w:proofErr w:type="gramEnd"/>
    </w:p>
    <w:p w:rsidR="00300E12" w:rsidRDefault="00F85C8D">
      <w:pPr>
        <w:pStyle w:val="a3"/>
        <w:spacing w:before="119"/>
        <w:ind w:left="322" w:right="325"/>
        <w:jc w:val="both"/>
      </w:pPr>
      <w:proofErr w:type="gramStart"/>
      <w:r>
        <w:t xml:space="preserve">Мы убеждены, </w:t>
      </w:r>
      <w:r>
        <w:t xml:space="preserve">что настоящий Отчет поможет сформировать более точное представление о существенной проблеме неприменения торгового </w:t>
      </w:r>
      <w:proofErr w:type="spellStart"/>
      <w:r>
        <w:t>эквайринга</w:t>
      </w:r>
      <w:proofErr w:type="spellEnd"/>
      <w:r>
        <w:t xml:space="preserve"> в сфере торговли/оказания услуг, использования расчетов за товары и услуги переводов с «с карты на карту» физических лиц» среди пр</w:t>
      </w:r>
      <w:r>
        <w:t>едпринимателей и граждан Тверской области, и выявить факторы формирования такого явления и найти способы его</w:t>
      </w:r>
      <w:r>
        <w:rPr>
          <w:spacing w:val="-17"/>
        </w:rPr>
        <w:t xml:space="preserve"> </w:t>
      </w:r>
      <w:r>
        <w:t>решения.</w:t>
      </w:r>
      <w:proofErr w:type="gramEnd"/>
    </w:p>
    <w:p w:rsidR="00300E12" w:rsidRDefault="00F85C8D">
      <w:pPr>
        <w:pStyle w:val="a3"/>
        <w:spacing w:before="120"/>
        <w:ind w:left="322" w:right="322"/>
        <w:jc w:val="both"/>
      </w:pPr>
      <w:r>
        <w:t>Также рекомендуем использовать настоящий Отчет органами государственной власти и контрольно-надзорными органами Тверской области при выраб</w:t>
      </w:r>
      <w:r>
        <w:t xml:space="preserve">отке решений региональной политики в сфере стимулирования малого и среднего бизнеса в повсеместном применении торгового </w:t>
      </w:r>
      <w:proofErr w:type="spellStart"/>
      <w:r>
        <w:t>эквайринга</w:t>
      </w:r>
      <w:proofErr w:type="spellEnd"/>
      <w:r>
        <w:t>, модернизации существующей инфраструктуры поддержки МСП для успешного развития предпринимательского потенциала предпринимател</w:t>
      </w:r>
      <w:r>
        <w:t>ей Тверской области</w:t>
      </w:r>
      <w:r>
        <w:rPr>
          <w:color w:val="0000FF"/>
        </w:rPr>
        <w:t>.</w:t>
      </w:r>
    </w:p>
    <w:p w:rsidR="00300E12" w:rsidRDefault="00300E12">
      <w:pPr>
        <w:jc w:val="both"/>
        <w:sectPr w:rsidR="00300E12">
          <w:pgSz w:w="11910" w:h="16840"/>
          <w:pgMar w:top="880" w:right="520" w:bottom="640" w:left="1380" w:header="0" w:footer="455" w:gutter="0"/>
          <w:cols w:space="720"/>
        </w:sectPr>
      </w:pPr>
    </w:p>
    <w:p w:rsidR="00300E12" w:rsidRDefault="00F85C8D">
      <w:pPr>
        <w:pStyle w:val="2"/>
        <w:numPr>
          <w:ilvl w:val="0"/>
          <w:numId w:val="4"/>
        </w:numPr>
        <w:tabs>
          <w:tab w:val="left" w:pos="680"/>
        </w:tabs>
        <w:jc w:val="both"/>
      </w:pPr>
      <w:r>
        <w:lastRenderedPageBreak/>
        <w:t>Обоснование.</w:t>
      </w:r>
    </w:p>
    <w:p w:rsidR="00300E12" w:rsidRDefault="00F85C8D">
      <w:pPr>
        <w:pStyle w:val="a3"/>
        <w:spacing w:before="119"/>
        <w:ind w:left="322" w:right="322"/>
        <w:jc w:val="both"/>
      </w:pPr>
      <w:r>
        <w:t>В июле 2020 года, в рамках Федеральной программы «Я предприниматель!», по заказу Ассоциации добросовестных предпринимателей Тверской области, Институтом институциональных проблем проведено социологическое</w:t>
      </w:r>
      <w:r>
        <w:t xml:space="preserve"> исследование в рамках Акции</w:t>
      </w:r>
    </w:p>
    <w:p w:rsidR="00300E12" w:rsidRDefault="00F85C8D">
      <w:pPr>
        <w:pStyle w:val="a3"/>
        <w:ind w:left="322" w:right="325"/>
        <w:jc w:val="both"/>
      </w:pPr>
      <w:r>
        <w:t>«Ликвидация системы оплаты «с карты на карту» среди субъектов МСП Тверской области» и анкетирование более 600 респондентов из числа предпринимателей, осуществляющие торговлю и оказывающие услуги через стационарные объекты сферы</w:t>
      </w:r>
      <w:r>
        <w:t xml:space="preserve"> торговли и услуг в г. Тверь.</w:t>
      </w:r>
    </w:p>
    <w:p w:rsidR="00300E12" w:rsidRDefault="00F85C8D">
      <w:pPr>
        <w:pStyle w:val="a3"/>
        <w:spacing w:before="121"/>
        <w:ind w:left="322" w:right="324"/>
        <w:jc w:val="both"/>
      </w:pPr>
      <w:r>
        <w:t>В рамках исследований проведен опрос стационарных торгово-сервисных объектов г. Твери на предмет использования оплаты товаров и/или услуг с помощью переводов «с карты на карту», проведение разъяснительной работы с указанными п</w:t>
      </w:r>
      <w:r>
        <w:t xml:space="preserve">редставителями бизнеса и поощрение предпринимателей, использующих торговый </w:t>
      </w:r>
      <w:proofErr w:type="spellStart"/>
      <w:r>
        <w:t>эквайринг</w:t>
      </w:r>
      <w:proofErr w:type="spellEnd"/>
      <w:r>
        <w:t>.</w:t>
      </w:r>
    </w:p>
    <w:p w:rsidR="00300E12" w:rsidRDefault="00F85C8D">
      <w:pPr>
        <w:pStyle w:val="a3"/>
        <w:spacing w:before="119"/>
        <w:ind w:left="322"/>
        <w:jc w:val="both"/>
      </w:pPr>
      <w:r>
        <w:t>Исследование проведено с привлечением волонтеров и промоутеров.</w:t>
      </w:r>
    </w:p>
    <w:p w:rsidR="00300E12" w:rsidRDefault="00300E12">
      <w:pPr>
        <w:pStyle w:val="a3"/>
        <w:spacing w:before="11"/>
        <w:rPr>
          <w:sz w:val="20"/>
        </w:rPr>
      </w:pPr>
    </w:p>
    <w:p w:rsidR="00300E12" w:rsidRDefault="00F85C8D">
      <w:pPr>
        <w:pStyle w:val="2"/>
        <w:spacing w:before="0"/>
      </w:pPr>
      <w:r>
        <w:t>Статистическая справка:</w:t>
      </w:r>
    </w:p>
    <w:p w:rsidR="00300E12" w:rsidRDefault="00F85C8D">
      <w:pPr>
        <w:pStyle w:val="a3"/>
        <w:spacing w:before="119"/>
        <w:ind w:left="322" w:right="322"/>
        <w:jc w:val="both"/>
      </w:pPr>
      <w:r>
        <w:t xml:space="preserve">В 2020 году в г. Твери действует около 24 тыс. субъектов малого и среднего предпринимательства, в </w:t>
      </w:r>
      <w:proofErr w:type="spellStart"/>
      <w:r>
        <w:t>т.ч</w:t>
      </w:r>
      <w:proofErr w:type="spellEnd"/>
      <w:r>
        <w:t>. юридических лиц – 13,7 тыс. юридических лиц (ЮЛ) и индивидуальных предпринимателей (ИП) – 10,2 тыс.</w:t>
      </w:r>
    </w:p>
    <w:p w:rsidR="00300E12" w:rsidRDefault="00F85C8D">
      <w:pPr>
        <w:pStyle w:val="a3"/>
        <w:spacing w:before="123"/>
        <w:ind w:left="322" w:right="328"/>
        <w:jc w:val="both"/>
      </w:pPr>
      <w:r>
        <w:t>Из общего количества МСП около 58% задействовано в сф</w:t>
      </w:r>
      <w:r>
        <w:t>ере торговли и оказания услуг через стационарные объекты в г. Твери, что составляет около 13,9 тыс. в количественном выражении. В расчет не взяты предприниматели, осуществляющие торговлю на рынках и торговых лотках, а также из сферы услуг, оказывающие услу</w:t>
      </w:r>
      <w:r>
        <w:t>ги на дому или по выезду.</w:t>
      </w:r>
    </w:p>
    <w:p w:rsidR="00300E12" w:rsidRDefault="00F85C8D">
      <w:pPr>
        <w:pStyle w:val="a3"/>
        <w:spacing w:before="118"/>
        <w:ind w:left="322" w:right="330"/>
        <w:jc w:val="both"/>
      </w:pPr>
      <w:r>
        <w:t>Объем репрезентативной выборки составил 4,3% от общего количества стационарных объектов сферы торговли и сферы услуг (около 600 объектов), что является допустимой нормой для проведения количественных исследований.</w:t>
      </w:r>
    </w:p>
    <w:p w:rsidR="00300E12" w:rsidRDefault="00300E12">
      <w:pPr>
        <w:pStyle w:val="a3"/>
        <w:spacing w:before="9"/>
        <w:rPr>
          <w:sz w:val="20"/>
        </w:rPr>
      </w:pPr>
    </w:p>
    <w:p w:rsidR="00300E12" w:rsidRDefault="00F85C8D">
      <w:pPr>
        <w:pStyle w:val="2"/>
        <w:spacing w:before="0"/>
      </w:pPr>
      <w:r>
        <w:t>Юридическая спр</w:t>
      </w:r>
      <w:r>
        <w:t>авка:</w:t>
      </w:r>
    </w:p>
    <w:p w:rsidR="00300E12" w:rsidRDefault="00F85C8D">
      <w:pPr>
        <w:pStyle w:val="a3"/>
        <w:spacing w:before="122"/>
        <w:ind w:left="322" w:right="324"/>
        <w:jc w:val="both"/>
      </w:pPr>
      <w:r>
        <w:rPr>
          <w:b/>
        </w:rPr>
        <w:t xml:space="preserve">Описание ситуации: </w:t>
      </w:r>
      <w:r>
        <w:t xml:space="preserve">при осуществлении предпринимательской деятельности компаниями и предпринимателями распространены случаи приема </w:t>
      </w:r>
      <w:proofErr w:type="gramStart"/>
      <w:r>
        <w:t>платежей</w:t>
      </w:r>
      <w:proofErr w:type="gramEnd"/>
      <w:r>
        <w:t xml:space="preserve"> за реализованные товары/оказанные услуги/выполненные работы непосредственной на дебетовые банковские счета физи</w:t>
      </w:r>
      <w:r>
        <w:t>ческих лиц (счета продавца, руководителя, предпринимателя и т.д.). Указанные случаи имеют наибольшее распространение среди субъектов малого и микро предпринимательства. При этом кассовый чек покупателю может не выдаваться.</w:t>
      </w:r>
    </w:p>
    <w:p w:rsidR="00300E12" w:rsidRDefault="00F85C8D">
      <w:pPr>
        <w:pStyle w:val="a3"/>
        <w:spacing w:before="121"/>
        <w:ind w:left="322" w:right="323"/>
        <w:jc w:val="both"/>
      </w:pPr>
      <w:r>
        <w:rPr>
          <w:b/>
        </w:rPr>
        <w:t xml:space="preserve">Задача: </w:t>
      </w:r>
      <w:r>
        <w:t>установить риски для субъ</w:t>
      </w:r>
      <w:r>
        <w:t>ектов малого предпринимательства при приеме платежей на дебетовые банковские счета (перевод «с карты на карту») при ведении ими предпринимательской деятельности.</w:t>
      </w:r>
    </w:p>
    <w:p w:rsidR="00300E12" w:rsidRDefault="00F85C8D">
      <w:pPr>
        <w:pStyle w:val="2"/>
        <w:spacing w:before="119"/>
      </w:pPr>
      <w:r>
        <w:t>Выявленные риски:</w:t>
      </w:r>
    </w:p>
    <w:p w:rsidR="00300E12" w:rsidRDefault="00F85C8D">
      <w:pPr>
        <w:pStyle w:val="a4"/>
        <w:numPr>
          <w:ilvl w:val="0"/>
          <w:numId w:val="3"/>
        </w:numPr>
        <w:tabs>
          <w:tab w:val="left" w:pos="682"/>
        </w:tabs>
        <w:ind w:left="681" w:right="323"/>
        <w:jc w:val="both"/>
      </w:pPr>
      <w:r>
        <w:rPr>
          <w:b/>
        </w:rPr>
        <w:t>Применение контрольно-кассовой техники (ККТ)</w:t>
      </w:r>
      <w:r>
        <w:t>. По общему правилу контрольн</w:t>
      </w:r>
      <w:proofErr w:type="gramStart"/>
      <w:r>
        <w:t>о-</w:t>
      </w:r>
      <w:proofErr w:type="gramEnd"/>
      <w:r>
        <w:t xml:space="preserve"> </w:t>
      </w:r>
      <w:r>
        <w:t>кассовая техника применяется на территории Российской Федерации в обязательном порядке всеми организациями и индивидуальными предпринимателями при осуществлении ими расчетов</w:t>
      </w:r>
      <w:r>
        <w:rPr>
          <w:color w:val="FF0000"/>
        </w:rPr>
        <w:t xml:space="preserve">. </w:t>
      </w:r>
      <w:r>
        <w:t>Согласно положениям Федерального закона от 22.05.2003 N 54-ФЗ "О применении контр</w:t>
      </w:r>
      <w:r>
        <w:t>ольно-кассовой техники при осуществлении наличных денежных расчетов и (или) расчетов с использованием электронных сре</w:t>
      </w:r>
      <w:proofErr w:type="gramStart"/>
      <w:r>
        <w:t>дств пл</w:t>
      </w:r>
      <w:proofErr w:type="gramEnd"/>
      <w:r>
        <w:t>атежа" расчеты – это прием или выплата денежных средств с использованием наличных и (или) электронных средств платежа за реализуемые</w:t>
      </w:r>
      <w:r>
        <w:t xml:space="preserve"> товары, выполняемые работы, оказываемые услуги (ст.1.1).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</w:t>
      </w:r>
      <w:r>
        <w:t>енежных сре</w:t>
      </w:r>
      <w:proofErr w:type="gramStart"/>
      <w:r>
        <w:t>дств в р</w:t>
      </w:r>
      <w:proofErr w:type="gramEnd"/>
      <w:r>
        <w:t>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карт, а также иных технических</w:t>
      </w:r>
      <w:r>
        <w:rPr>
          <w:spacing w:val="1"/>
        </w:rPr>
        <w:t xml:space="preserve"> </w:t>
      </w:r>
      <w:r>
        <w:t>устройств.</w:t>
      </w:r>
    </w:p>
    <w:p w:rsidR="00300E12" w:rsidRDefault="00F85C8D">
      <w:pPr>
        <w:pStyle w:val="2"/>
        <w:numPr>
          <w:ilvl w:val="0"/>
          <w:numId w:val="3"/>
        </w:numPr>
        <w:tabs>
          <w:tab w:val="left" w:pos="682"/>
        </w:tabs>
        <w:spacing w:before="120"/>
        <w:jc w:val="both"/>
        <w:rPr>
          <w:b w:val="0"/>
        </w:rPr>
      </w:pPr>
      <w:r>
        <w:t>Использование личного счета в предп</w:t>
      </w:r>
      <w:r>
        <w:t xml:space="preserve">ринимательских целях. </w:t>
      </w:r>
      <w:r>
        <w:rPr>
          <w:b w:val="0"/>
        </w:rPr>
        <w:t>Текущие</w:t>
      </w:r>
      <w:r>
        <w:rPr>
          <w:b w:val="0"/>
          <w:spacing w:val="57"/>
        </w:rPr>
        <w:t xml:space="preserve"> </w:t>
      </w:r>
      <w:r>
        <w:rPr>
          <w:b w:val="0"/>
        </w:rPr>
        <w:t>счета</w:t>
      </w:r>
    </w:p>
    <w:p w:rsidR="00300E12" w:rsidRDefault="00300E12">
      <w:pPr>
        <w:jc w:val="both"/>
        <w:sectPr w:rsidR="00300E12">
          <w:pgSz w:w="11910" w:h="16840"/>
          <w:pgMar w:top="880" w:right="520" w:bottom="640" w:left="1380" w:header="0" w:footer="455" w:gutter="0"/>
          <w:cols w:space="720"/>
        </w:sectPr>
      </w:pPr>
    </w:p>
    <w:p w:rsidR="00300E12" w:rsidRDefault="00F85C8D">
      <w:pPr>
        <w:pStyle w:val="a3"/>
        <w:spacing w:before="73"/>
        <w:ind w:left="681" w:right="324"/>
        <w:jc w:val="both"/>
      </w:pPr>
      <w:r>
        <w:lastRenderedPageBreak/>
        <w:t>открываются физическим лицам для совершения операций, не связанных с предпринимательской деятельностью или частной практикой. Соответственно физические лица не вправе использовать депозитные счета для п</w:t>
      </w:r>
      <w:r>
        <w:t>ринятия платежей при осуществлении предпринимательской деятельности. В случае нарушения данного правила банк вправе расторгнуть договор на открытие счета, что приведет к невозможности его использования.</w:t>
      </w:r>
    </w:p>
    <w:p w:rsidR="00300E12" w:rsidRDefault="00F85C8D">
      <w:pPr>
        <w:pStyle w:val="a4"/>
        <w:numPr>
          <w:ilvl w:val="0"/>
          <w:numId w:val="3"/>
        </w:numPr>
        <w:tabs>
          <w:tab w:val="left" w:pos="682"/>
        </w:tabs>
        <w:spacing w:before="120"/>
        <w:ind w:left="681" w:right="324"/>
        <w:jc w:val="both"/>
      </w:pPr>
      <w:r>
        <w:rPr>
          <w:b/>
        </w:rPr>
        <w:t xml:space="preserve">Не применение ККТ. </w:t>
      </w:r>
      <w:r>
        <w:t xml:space="preserve">Принимая платежи за реализованные товары/работы/услуги «с карты на карту» юридически субъект предпринимательства принимает оплату не на свой банковский счет, а на банковский счет лица, не ведущего предпринимательскую деятельность, банковский счет которого </w:t>
      </w:r>
      <w:r>
        <w:t xml:space="preserve">открыт для личных целей. Если продавец принял от покупателя платеж «с карты на карту» и не сформировал кассовый чек, то такой продавец может быть привлечен к административной ответственности. </w:t>
      </w:r>
      <w:proofErr w:type="gramStart"/>
      <w:r>
        <w:t>Неприменение контрольно-кассовой техники в установленных законод</w:t>
      </w:r>
      <w:r>
        <w:t>ательством Российской Федерации о применении контрольно-кассовой техники случаях влечет наложение административного штрафа на должностных лиц в размере от одной четвертой до одной второй размера суммы расчета, осуществленного без применения контрольно-касс</w:t>
      </w:r>
      <w:r>
        <w:t>овой техники, но не менее десяти тысяч рублей;</w:t>
      </w:r>
      <w:proofErr w:type="gramEnd"/>
      <w:r>
        <w:t xml:space="preserve"> на юридических лиц - от трех четвертых до одного размера суммы расчета, осуществленного с использованием наличных денежных средств и (или) электронных сре</w:t>
      </w:r>
      <w:proofErr w:type="gramStart"/>
      <w:r>
        <w:t>дств пл</w:t>
      </w:r>
      <w:proofErr w:type="gramEnd"/>
      <w:r>
        <w:t>атежа без применения контрольно-кассовой техники</w:t>
      </w:r>
      <w:r>
        <w:t xml:space="preserve">, но не менее тридцати тысяч рублей. </w:t>
      </w:r>
      <w:proofErr w:type="gramStart"/>
      <w:r>
        <w:t>Повторное совершение административного правонарушения, предусмотренного частью 2 настоящей статьи, в случае, если сумма расчетов, осуществленных без применения контрольно-кассовой техники, составила, в том числе в совок</w:t>
      </w:r>
      <w:r>
        <w:t>упности, один миллион рублей и более, влечет в отношении должностных лиц дисквалификацию на срок от одного года до двух лет; в отношении индивидуальных предпринимателей и юридических лиц административное приостановление деятельности на срок до девяноста</w:t>
      </w:r>
      <w:r>
        <w:rPr>
          <w:spacing w:val="-10"/>
        </w:rPr>
        <w:t xml:space="preserve"> </w:t>
      </w:r>
      <w:r>
        <w:t>су</w:t>
      </w:r>
      <w:r>
        <w:t>ток.</w:t>
      </w:r>
      <w:proofErr w:type="gramEnd"/>
    </w:p>
    <w:p w:rsidR="00300E12" w:rsidRDefault="00F85C8D">
      <w:pPr>
        <w:pStyle w:val="a4"/>
        <w:numPr>
          <w:ilvl w:val="0"/>
          <w:numId w:val="3"/>
        </w:numPr>
        <w:tabs>
          <w:tab w:val="left" w:pos="682"/>
        </w:tabs>
        <w:spacing w:before="121"/>
        <w:ind w:left="681" w:right="325"/>
        <w:jc w:val="both"/>
      </w:pPr>
      <w:r>
        <w:rPr>
          <w:b/>
        </w:rPr>
        <w:t xml:space="preserve">Нарушение порядка обращения с денежной наличностью. </w:t>
      </w:r>
      <w:r>
        <w:t>В случае</w:t>
      </w:r>
      <w:proofErr w:type="gramStart"/>
      <w:r>
        <w:t>,</w:t>
      </w:r>
      <w:proofErr w:type="gramEnd"/>
      <w:r>
        <w:t xml:space="preserve"> если при оплате «с карты на карту» был сформирован кассовый чек, то денежные средства должны быть оприходованы и поступить в кассу. При несоблюдении данных требований может возникнуть нарушение правил работы с наличностью и ведения кассовых опера</w:t>
      </w:r>
      <w:r>
        <w:t xml:space="preserve">ций. </w:t>
      </w:r>
      <w:proofErr w:type="gramStart"/>
      <w:r>
        <w:t>Нарушение порядка работы с денежной наличностью и порядка ведения кассовых операций, выразившееся в осуществлении расчетов наличными деньгами с другими организациями сверх установленных размеров, не оприходовании (неполном оприходовании) в кассу денеж</w:t>
      </w:r>
      <w:r>
        <w:t>ной наличности, несоблюдении порядка хранения свободных денежных средств, а равно в накоплении в кассе наличных денег сверх установленных лимитов, влечет наложение административного штрафа на должностных лиц в размере от четырех тысяч</w:t>
      </w:r>
      <w:proofErr w:type="gramEnd"/>
      <w:r>
        <w:t xml:space="preserve"> до пяти тысяч рублей;</w:t>
      </w:r>
      <w:r>
        <w:t xml:space="preserve"> на юридических лиц - от сорока тысяч до пятидесяти тысяч</w:t>
      </w:r>
      <w:r>
        <w:rPr>
          <w:spacing w:val="-9"/>
        </w:rPr>
        <w:t xml:space="preserve"> </w:t>
      </w:r>
      <w:r>
        <w:t>рублей.</w:t>
      </w:r>
    </w:p>
    <w:p w:rsidR="00300E12" w:rsidRDefault="00F85C8D">
      <w:pPr>
        <w:pStyle w:val="2"/>
        <w:spacing w:before="119"/>
      </w:pPr>
      <w:r>
        <w:t>Налоговые последствия</w:t>
      </w:r>
    </w:p>
    <w:p w:rsidR="00300E12" w:rsidRDefault="00F85C8D">
      <w:pPr>
        <w:pStyle w:val="a4"/>
        <w:numPr>
          <w:ilvl w:val="0"/>
          <w:numId w:val="2"/>
        </w:numPr>
        <w:tabs>
          <w:tab w:val="left" w:pos="682"/>
        </w:tabs>
        <w:spacing w:before="1" w:line="252" w:lineRule="exact"/>
        <w:jc w:val="both"/>
      </w:pPr>
      <w:r>
        <w:t>Платежи могут быть признаны доходом физического</w:t>
      </w:r>
      <w:r>
        <w:rPr>
          <w:spacing w:val="-13"/>
        </w:rPr>
        <w:t xml:space="preserve"> </w:t>
      </w:r>
      <w:r>
        <w:t>лица.</w:t>
      </w:r>
    </w:p>
    <w:p w:rsidR="00300E12" w:rsidRDefault="00F85C8D">
      <w:pPr>
        <w:pStyle w:val="a3"/>
        <w:ind w:left="681" w:right="324"/>
        <w:jc w:val="both"/>
      </w:pPr>
      <w:r>
        <w:t xml:space="preserve">При осуществлении переводов «с карты на карту» возникает вероятность признания всех поступлений на дебетовый счет </w:t>
      </w:r>
      <w:r>
        <w:t>физического лица его собственным доходом, подлежащим налогообложению по установленной ставке НДФЛ. Неуплата или неполная уплата суммы налога (сбора) в результате занижения налоговой базы, иного неправильного исчисления налога или других неправомерных дейст</w:t>
      </w:r>
      <w:r>
        <w:t>вий (бездействия), совершенных по неосторожности, влекут взыскание штрафа в размере 20% от неуплаченных сумм налога. Если правонарушение совершено умышленно, размер штрафа составит 40% от неуплаченных сумм налога (сбора). Привлечение налогоплательщика к от</w:t>
      </w:r>
      <w:r>
        <w:t>ветственности за совершение налогового правонарушения не освобождает его от обязанности уплатить причитающиеся суммы налога (сбора) и пени.</w:t>
      </w:r>
    </w:p>
    <w:p w:rsidR="00300E12" w:rsidRDefault="00F85C8D">
      <w:pPr>
        <w:pStyle w:val="a4"/>
        <w:numPr>
          <w:ilvl w:val="0"/>
          <w:numId w:val="2"/>
        </w:numPr>
        <w:tabs>
          <w:tab w:val="left" w:pos="682"/>
        </w:tabs>
        <w:spacing w:before="1" w:line="252" w:lineRule="exact"/>
        <w:jc w:val="both"/>
      </w:pPr>
      <w:r>
        <w:t>Уклонение от уплат</w:t>
      </w:r>
      <w:r>
        <w:rPr>
          <w:spacing w:val="-5"/>
        </w:rPr>
        <w:t xml:space="preserve"> </w:t>
      </w:r>
      <w:r>
        <w:t>налогов.</w:t>
      </w:r>
    </w:p>
    <w:p w:rsidR="00300E12" w:rsidRDefault="00F85C8D">
      <w:pPr>
        <w:pStyle w:val="a3"/>
        <w:ind w:left="681" w:right="324"/>
        <w:jc w:val="both"/>
      </w:pPr>
      <w:r>
        <w:t>В том случае, если физическое лицо, получая платежи «с карты на карту» не уплачивает с н</w:t>
      </w:r>
      <w:r>
        <w:t xml:space="preserve">их НДФЛ, и сумма НДФЛ, подлежащая уплате составляет не менее 2,7 </w:t>
      </w:r>
      <w:proofErr w:type="gramStart"/>
      <w:r>
        <w:t>млн</w:t>
      </w:r>
      <w:proofErr w:type="gramEnd"/>
      <w:r>
        <w:t xml:space="preserve"> рублей за три финансовых года подряд, то его действия могут образовывать состав преступления и оно может быть привлечено к ответственности по ст. 198 Уголовного кодекса РФ.</w:t>
      </w:r>
    </w:p>
    <w:p w:rsidR="00300E12" w:rsidRDefault="00300E12">
      <w:pPr>
        <w:jc w:val="both"/>
        <w:sectPr w:rsidR="00300E12">
          <w:pgSz w:w="11910" w:h="16840"/>
          <w:pgMar w:top="760" w:right="520" w:bottom="640" w:left="1380" w:header="0" w:footer="455" w:gutter="0"/>
          <w:cols w:space="720"/>
        </w:sectPr>
      </w:pPr>
    </w:p>
    <w:p w:rsidR="00300E12" w:rsidRDefault="00F85C8D">
      <w:pPr>
        <w:pStyle w:val="2"/>
        <w:numPr>
          <w:ilvl w:val="0"/>
          <w:numId w:val="2"/>
        </w:numPr>
        <w:tabs>
          <w:tab w:val="left" w:pos="680"/>
        </w:tabs>
        <w:ind w:left="679" w:hanging="358"/>
        <w:jc w:val="both"/>
      </w:pPr>
      <w:r>
        <w:lastRenderedPageBreak/>
        <w:t>Основная</w:t>
      </w:r>
      <w:r>
        <w:rPr>
          <w:spacing w:val="-2"/>
        </w:rPr>
        <w:t xml:space="preserve"> </w:t>
      </w:r>
      <w:r>
        <w:t>статистика.</w:t>
      </w:r>
    </w:p>
    <w:p w:rsidR="00300E12" w:rsidRDefault="00F85C8D">
      <w:pPr>
        <w:pStyle w:val="a4"/>
        <w:numPr>
          <w:ilvl w:val="1"/>
          <w:numId w:val="2"/>
        </w:numPr>
        <w:tabs>
          <w:tab w:val="left" w:pos="1030"/>
        </w:tabs>
        <w:jc w:val="both"/>
        <w:rPr>
          <w:b/>
        </w:rPr>
      </w:pPr>
      <w:r>
        <w:rPr>
          <w:b/>
        </w:rPr>
        <w:t>Общее количество стационарных объектов (по видам</w:t>
      </w:r>
      <w:r>
        <w:rPr>
          <w:b/>
          <w:spacing w:val="-15"/>
        </w:rPr>
        <w:t xml:space="preserve"> </w:t>
      </w:r>
      <w:r>
        <w:rPr>
          <w:b/>
        </w:rPr>
        <w:t>деятельности):</w:t>
      </w:r>
    </w:p>
    <w:p w:rsidR="00300E12" w:rsidRDefault="00300E12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267"/>
        <w:gridCol w:w="1268"/>
        <w:gridCol w:w="1267"/>
        <w:gridCol w:w="1267"/>
        <w:gridCol w:w="1267"/>
        <w:gridCol w:w="1268"/>
        <w:gridCol w:w="1054"/>
      </w:tblGrid>
      <w:tr w:rsidR="00300E12">
        <w:trPr>
          <w:trHeight w:val="1161"/>
        </w:trPr>
        <w:tc>
          <w:tcPr>
            <w:tcW w:w="955" w:type="dxa"/>
          </w:tcPr>
          <w:p w:rsidR="00300E12" w:rsidRDefault="00300E12"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 w:rsidR="00300E12" w:rsidRDefault="00F85C8D">
            <w:pPr>
              <w:pStyle w:val="TableParagraph"/>
              <w:spacing w:before="0"/>
              <w:ind w:left="137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267" w:type="dxa"/>
          </w:tcPr>
          <w:p w:rsidR="00300E12" w:rsidRDefault="00300E12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0"/>
              <w:ind w:left="388" w:right="184" w:hanging="7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 xml:space="preserve">Сфера </w:t>
            </w:r>
            <w:r>
              <w:rPr>
                <w:sz w:val="20"/>
              </w:rPr>
              <w:t>услуг</w:t>
            </w:r>
          </w:p>
        </w:tc>
        <w:tc>
          <w:tcPr>
            <w:tcW w:w="1268" w:type="dxa"/>
          </w:tcPr>
          <w:p w:rsidR="00300E12" w:rsidRDefault="00300E12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231" w:right="218" w:hanging="4"/>
              <w:rPr>
                <w:sz w:val="20"/>
              </w:rPr>
            </w:pPr>
            <w:r>
              <w:rPr>
                <w:sz w:val="20"/>
              </w:rPr>
              <w:t>Авт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сервис и т.п.</w:t>
            </w:r>
          </w:p>
        </w:tc>
        <w:tc>
          <w:tcPr>
            <w:tcW w:w="1267" w:type="dxa"/>
          </w:tcPr>
          <w:p w:rsidR="00300E12" w:rsidRDefault="00300E12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0"/>
              <w:ind w:left="256" w:hanging="7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Продукты </w:t>
            </w:r>
            <w:r>
              <w:rPr>
                <w:sz w:val="20"/>
              </w:rPr>
              <w:t>питания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spacing w:before="120"/>
              <w:ind w:left="286" w:right="184" w:hanging="94"/>
              <w:jc w:val="lef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Непрод</w:t>
            </w:r>
            <w:proofErr w:type="gramStart"/>
            <w:r>
              <w:rPr>
                <w:w w:val="95"/>
                <w:sz w:val="20"/>
              </w:rPr>
              <w:t>о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вольст</w:t>
            </w:r>
            <w:proofErr w:type="spellEnd"/>
            <w:r>
              <w:rPr>
                <w:sz w:val="20"/>
              </w:rPr>
              <w:t>- венные товары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spacing w:before="120"/>
              <w:ind w:left="185" w:right="155" w:hanging="1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Спиртные </w:t>
            </w:r>
            <w:r>
              <w:rPr>
                <w:sz w:val="20"/>
              </w:rPr>
              <w:t>напитки и табачные изделия</w:t>
            </w:r>
          </w:p>
        </w:tc>
        <w:tc>
          <w:tcPr>
            <w:tcW w:w="1268" w:type="dxa"/>
          </w:tcPr>
          <w:p w:rsidR="00300E12" w:rsidRDefault="00300E12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231" w:right="220"/>
              <w:rPr>
                <w:sz w:val="20"/>
              </w:rPr>
            </w:pPr>
            <w:proofErr w:type="spellStart"/>
            <w:r>
              <w:rPr>
                <w:sz w:val="20"/>
              </w:rPr>
              <w:t>Общес</w:t>
            </w:r>
            <w:proofErr w:type="gramStart"/>
            <w:r>
              <w:rPr>
                <w:sz w:val="20"/>
              </w:rPr>
              <w:t>т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венное питание</w:t>
            </w:r>
          </w:p>
        </w:tc>
        <w:tc>
          <w:tcPr>
            <w:tcW w:w="1054" w:type="dxa"/>
          </w:tcPr>
          <w:p w:rsidR="00300E12" w:rsidRDefault="00F85C8D">
            <w:pPr>
              <w:pStyle w:val="TableParagraph"/>
              <w:spacing w:before="175"/>
              <w:ind w:left="153" w:right="151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300E12" w:rsidRDefault="00F85C8D">
            <w:pPr>
              <w:pStyle w:val="TableParagraph"/>
              <w:spacing w:before="120"/>
              <w:ind w:left="156" w:right="15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опред</w:t>
            </w:r>
            <w:proofErr w:type="gramStart"/>
            <w:r>
              <w:rPr>
                <w:w w:val="95"/>
                <w:sz w:val="20"/>
              </w:rPr>
              <w:t>е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лено</w:t>
            </w:r>
            <w:proofErr w:type="spellEnd"/>
          </w:p>
        </w:tc>
      </w:tr>
      <w:tr w:rsidR="00300E12">
        <w:trPr>
          <w:trHeight w:val="470"/>
        </w:trPr>
        <w:tc>
          <w:tcPr>
            <w:tcW w:w="955" w:type="dxa"/>
          </w:tcPr>
          <w:p w:rsidR="00300E12" w:rsidRDefault="00F85C8D">
            <w:pPr>
              <w:pStyle w:val="TableParagraph"/>
              <w:ind w:left="133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6" w:right="321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268" w:type="dxa"/>
          </w:tcPr>
          <w:p w:rsidR="00300E12" w:rsidRDefault="00F85C8D">
            <w:pPr>
              <w:pStyle w:val="TableParagraph"/>
              <w:ind w:left="382" w:right="37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6" w:right="32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7" w:right="321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7" w:right="32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8" w:type="dxa"/>
          </w:tcPr>
          <w:p w:rsidR="00300E12" w:rsidRDefault="00F85C8D">
            <w:pPr>
              <w:pStyle w:val="TableParagraph"/>
              <w:ind w:left="384" w:right="37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54" w:type="dxa"/>
          </w:tcPr>
          <w:p w:rsidR="00300E12" w:rsidRDefault="00F85C8D">
            <w:pPr>
              <w:pStyle w:val="TableParagraph"/>
              <w:ind w:left="154" w:right="15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300E12">
        <w:trPr>
          <w:trHeight w:val="470"/>
        </w:trPr>
        <w:tc>
          <w:tcPr>
            <w:tcW w:w="955" w:type="dxa"/>
          </w:tcPr>
          <w:p w:rsidR="00300E12" w:rsidRDefault="00F85C8D">
            <w:pPr>
              <w:pStyle w:val="TableParagraph"/>
              <w:ind w:left="135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7" w:right="321"/>
              <w:rPr>
                <w:sz w:val="20"/>
              </w:rPr>
            </w:pPr>
            <w:r>
              <w:rPr>
                <w:sz w:val="20"/>
              </w:rPr>
              <w:t>18,3%</w:t>
            </w:r>
          </w:p>
        </w:tc>
        <w:tc>
          <w:tcPr>
            <w:tcW w:w="1268" w:type="dxa"/>
          </w:tcPr>
          <w:p w:rsidR="00300E12" w:rsidRDefault="00F85C8D">
            <w:pPr>
              <w:pStyle w:val="TableParagraph"/>
              <w:ind w:left="384" w:right="377"/>
              <w:rPr>
                <w:sz w:val="20"/>
              </w:rPr>
            </w:pPr>
            <w:r>
              <w:rPr>
                <w:sz w:val="20"/>
              </w:rPr>
              <w:t>2,5%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7" w:right="321"/>
              <w:rPr>
                <w:sz w:val="20"/>
              </w:rPr>
            </w:pPr>
            <w:r>
              <w:rPr>
                <w:sz w:val="20"/>
              </w:rPr>
              <w:t>8,7%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7" w:right="320"/>
              <w:rPr>
                <w:sz w:val="20"/>
              </w:rPr>
            </w:pPr>
            <w:r>
              <w:rPr>
                <w:sz w:val="20"/>
              </w:rPr>
              <w:t>57,6%</w:t>
            </w:r>
          </w:p>
        </w:tc>
        <w:tc>
          <w:tcPr>
            <w:tcW w:w="1267" w:type="dxa"/>
          </w:tcPr>
          <w:p w:rsidR="00300E12" w:rsidRDefault="00F85C8D">
            <w:pPr>
              <w:pStyle w:val="TableParagraph"/>
              <w:ind w:left="327" w:right="319"/>
              <w:rPr>
                <w:sz w:val="20"/>
              </w:rPr>
            </w:pPr>
            <w:r>
              <w:rPr>
                <w:sz w:val="20"/>
              </w:rPr>
              <w:t>3,3%</w:t>
            </w:r>
          </w:p>
        </w:tc>
        <w:tc>
          <w:tcPr>
            <w:tcW w:w="1268" w:type="dxa"/>
          </w:tcPr>
          <w:p w:rsidR="00300E12" w:rsidRDefault="00F85C8D">
            <w:pPr>
              <w:pStyle w:val="TableParagraph"/>
              <w:ind w:left="384" w:right="376"/>
              <w:rPr>
                <w:sz w:val="20"/>
              </w:rPr>
            </w:pPr>
            <w:r>
              <w:rPr>
                <w:sz w:val="20"/>
              </w:rPr>
              <w:t>3,7%</w:t>
            </w:r>
          </w:p>
        </w:tc>
        <w:tc>
          <w:tcPr>
            <w:tcW w:w="1054" w:type="dxa"/>
          </w:tcPr>
          <w:p w:rsidR="00300E12" w:rsidRDefault="00F85C8D">
            <w:pPr>
              <w:pStyle w:val="TableParagraph"/>
              <w:ind w:left="151" w:right="151"/>
              <w:rPr>
                <w:sz w:val="20"/>
              </w:rPr>
            </w:pPr>
            <w:r>
              <w:rPr>
                <w:sz w:val="20"/>
              </w:rPr>
              <w:t>5,9%</w:t>
            </w:r>
          </w:p>
        </w:tc>
      </w:tr>
    </w:tbl>
    <w:p w:rsidR="00300E12" w:rsidRDefault="00F85C8D">
      <w:pPr>
        <w:pStyle w:val="a3"/>
        <w:spacing w:before="120"/>
        <w:ind w:left="322" w:right="328"/>
        <w:jc w:val="both"/>
      </w:pPr>
      <w:r>
        <w:t xml:space="preserve">Наибольшее количество стационарных объектов по торговле непродовольственными товарами (57,6%) и сферы услуг (18,3%). Наименьшее значение связано с автобизнесом (автозапчасти, автосервис, автомойка, </w:t>
      </w:r>
      <w:proofErr w:type="spellStart"/>
      <w:r>
        <w:t>шиномонтаж</w:t>
      </w:r>
      <w:proofErr w:type="spellEnd"/>
      <w:r>
        <w:t>) – 2,5%.</w:t>
      </w:r>
    </w:p>
    <w:p w:rsidR="00300E12" w:rsidRDefault="00F85C8D">
      <w:pPr>
        <w:pStyle w:val="2"/>
        <w:numPr>
          <w:ilvl w:val="1"/>
          <w:numId w:val="2"/>
        </w:numPr>
        <w:tabs>
          <w:tab w:val="left" w:pos="1030"/>
        </w:tabs>
        <w:spacing w:before="119"/>
        <w:jc w:val="both"/>
      </w:pPr>
      <w:r>
        <w:t>Форма собственности (ЮЛ или</w:t>
      </w:r>
      <w:r>
        <w:rPr>
          <w:spacing w:val="-2"/>
        </w:rPr>
        <w:t xml:space="preserve"> </w:t>
      </w:r>
      <w:r>
        <w:t>ИП):</w:t>
      </w:r>
    </w:p>
    <w:p w:rsidR="00300E12" w:rsidRDefault="00300E12">
      <w:pPr>
        <w:pStyle w:val="a3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2984"/>
        <w:gridCol w:w="4112"/>
        <w:gridCol w:w="1733"/>
      </w:tblGrid>
      <w:tr w:rsidR="00300E12">
        <w:trPr>
          <w:trHeight w:val="470"/>
        </w:trPr>
        <w:tc>
          <w:tcPr>
            <w:tcW w:w="881" w:type="dxa"/>
          </w:tcPr>
          <w:p w:rsidR="00300E12" w:rsidRDefault="00F85C8D">
            <w:pPr>
              <w:pStyle w:val="TableParagraph"/>
              <w:ind w:left="1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</w:t>
            </w:r>
            <w:r>
              <w:rPr>
                <w:b/>
                <w:sz w:val="20"/>
              </w:rPr>
              <w:t>о:</w:t>
            </w:r>
          </w:p>
        </w:tc>
        <w:tc>
          <w:tcPr>
            <w:tcW w:w="2984" w:type="dxa"/>
          </w:tcPr>
          <w:p w:rsidR="00300E12" w:rsidRDefault="00F85C8D">
            <w:pPr>
              <w:pStyle w:val="TableParagraph"/>
              <w:ind w:left="247" w:right="242"/>
              <w:rPr>
                <w:sz w:val="20"/>
              </w:rPr>
            </w:pPr>
            <w:r>
              <w:rPr>
                <w:sz w:val="20"/>
              </w:rPr>
              <w:t>Юридические лица (ООО)</w:t>
            </w:r>
          </w:p>
        </w:tc>
        <w:tc>
          <w:tcPr>
            <w:tcW w:w="4112" w:type="dxa"/>
          </w:tcPr>
          <w:p w:rsidR="00300E12" w:rsidRDefault="00F85C8D">
            <w:pPr>
              <w:pStyle w:val="TableParagraph"/>
              <w:ind w:left="118" w:right="115"/>
              <w:rPr>
                <w:sz w:val="20"/>
              </w:rPr>
            </w:pPr>
            <w:r>
              <w:rPr>
                <w:sz w:val="20"/>
              </w:rPr>
              <w:t>Индивидуальные предприниматели (ИП)</w:t>
            </w:r>
          </w:p>
        </w:tc>
        <w:tc>
          <w:tcPr>
            <w:tcW w:w="1733" w:type="dxa"/>
          </w:tcPr>
          <w:p w:rsidR="00300E12" w:rsidRDefault="00F85C8D">
            <w:pPr>
              <w:pStyle w:val="TableParagraph"/>
              <w:ind w:left="128" w:right="123"/>
              <w:rPr>
                <w:sz w:val="20"/>
              </w:rPr>
            </w:pPr>
            <w:r>
              <w:rPr>
                <w:sz w:val="20"/>
              </w:rPr>
              <w:t>Не определено</w:t>
            </w:r>
          </w:p>
        </w:tc>
      </w:tr>
      <w:tr w:rsidR="00300E12">
        <w:trPr>
          <w:trHeight w:val="470"/>
        </w:trPr>
        <w:tc>
          <w:tcPr>
            <w:tcW w:w="881" w:type="dxa"/>
          </w:tcPr>
          <w:p w:rsidR="00300E12" w:rsidRDefault="00F85C8D">
            <w:pPr>
              <w:pStyle w:val="TableParagraph"/>
              <w:ind w:left="2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2984" w:type="dxa"/>
          </w:tcPr>
          <w:p w:rsidR="00300E12" w:rsidRDefault="00F85C8D">
            <w:pPr>
              <w:pStyle w:val="TableParagraph"/>
              <w:ind w:left="247" w:right="242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4112" w:type="dxa"/>
          </w:tcPr>
          <w:p w:rsidR="00300E12" w:rsidRDefault="00F85C8D">
            <w:pPr>
              <w:pStyle w:val="TableParagraph"/>
              <w:ind w:left="118" w:right="112"/>
              <w:rPr>
                <w:sz w:val="20"/>
              </w:rPr>
            </w:pPr>
            <w:r>
              <w:rPr>
                <w:sz w:val="20"/>
              </w:rPr>
              <w:t>505</w:t>
            </w:r>
          </w:p>
        </w:tc>
        <w:tc>
          <w:tcPr>
            <w:tcW w:w="1733" w:type="dxa"/>
          </w:tcPr>
          <w:p w:rsidR="00300E12" w:rsidRDefault="00F85C8D">
            <w:pPr>
              <w:pStyle w:val="TableParagraph"/>
              <w:ind w:left="127" w:right="12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00E12">
        <w:trPr>
          <w:trHeight w:val="469"/>
        </w:trPr>
        <w:tc>
          <w:tcPr>
            <w:tcW w:w="881" w:type="dxa"/>
          </w:tcPr>
          <w:p w:rsidR="00300E12" w:rsidRDefault="00F85C8D">
            <w:pPr>
              <w:pStyle w:val="TableParagraph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2984" w:type="dxa"/>
          </w:tcPr>
          <w:p w:rsidR="00300E12" w:rsidRDefault="00F85C8D">
            <w:pPr>
              <w:pStyle w:val="TableParagraph"/>
              <w:ind w:left="244" w:right="242"/>
              <w:rPr>
                <w:sz w:val="20"/>
              </w:rPr>
            </w:pPr>
            <w:r>
              <w:rPr>
                <w:sz w:val="20"/>
              </w:rPr>
              <w:t>14,7%</w:t>
            </w:r>
          </w:p>
        </w:tc>
        <w:tc>
          <w:tcPr>
            <w:tcW w:w="4112" w:type="dxa"/>
          </w:tcPr>
          <w:p w:rsidR="00300E12" w:rsidRDefault="00F85C8D">
            <w:pPr>
              <w:pStyle w:val="TableParagraph"/>
              <w:ind w:left="117" w:right="115"/>
              <w:rPr>
                <w:sz w:val="20"/>
              </w:rPr>
            </w:pPr>
            <w:r>
              <w:rPr>
                <w:sz w:val="20"/>
              </w:rPr>
              <w:t>83,3%</w:t>
            </w:r>
          </w:p>
        </w:tc>
        <w:tc>
          <w:tcPr>
            <w:tcW w:w="1733" w:type="dxa"/>
          </w:tcPr>
          <w:p w:rsidR="00300E12" w:rsidRDefault="00F85C8D">
            <w:pPr>
              <w:pStyle w:val="TableParagraph"/>
              <w:ind w:left="128" w:right="123"/>
              <w:rPr>
                <w:sz w:val="20"/>
              </w:rPr>
            </w:pPr>
            <w:r>
              <w:rPr>
                <w:sz w:val="20"/>
              </w:rPr>
              <w:t>2,0%</w:t>
            </w:r>
          </w:p>
        </w:tc>
      </w:tr>
    </w:tbl>
    <w:p w:rsidR="00300E12" w:rsidRDefault="00F85C8D">
      <w:pPr>
        <w:pStyle w:val="a3"/>
        <w:spacing w:before="120"/>
        <w:ind w:left="322" w:right="326"/>
        <w:jc w:val="both"/>
      </w:pPr>
      <w:r>
        <w:t>Наибольшее количество стационарных объектов по форме собственности принадлежит индивидуальным предпринимателям – 83,3%, наименьшее значение соответствует юридическим лицам – 14,7%. Около 2,0% не удалось определить форму собственности в связи с отсутствие р</w:t>
      </w:r>
      <w:r>
        <w:t>уководства торгового объекта или нежелания персонала говорить об этом или незнания.</w:t>
      </w:r>
    </w:p>
    <w:p w:rsidR="00300E12" w:rsidRDefault="00F85C8D">
      <w:pPr>
        <w:pStyle w:val="2"/>
        <w:numPr>
          <w:ilvl w:val="1"/>
          <w:numId w:val="2"/>
        </w:numPr>
        <w:tabs>
          <w:tab w:val="left" w:pos="1030"/>
        </w:tabs>
        <w:spacing w:before="120"/>
        <w:jc w:val="both"/>
      </w:pPr>
      <w:r>
        <w:t>Соответствие/</w:t>
      </w:r>
      <w:proofErr w:type="spellStart"/>
      <w:r>
        <w:t>несоотвествие</w:t>
      </w:r>
      <w:proofErr w:type="spellEnd"/>
      <w:r>
        <w:t xml:space="preserve"> требованиям действующего</w:t>
      </w:r>
      <w:r>
        <w:rPr>
          <w:spacing w:val="-14"/>
        </w:rPr>
        <w:t xml:space="preserve"> </w:t>
      </w:r>
      <w:r>
        <w:t>законодательства:</w:t>
      </w:r>
    </w:p>
    <w:p w:rsidR="00300E12" w:rsidRDefault="00300E12">
      <w:pPr>
        <w:pStyle w:val="a3"/>
        <w:spacing w:before="3" w:after="1"/>
        <w:rPr>
          <w:b/>
          <w:sz w:val="1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094"/>
        <w:gridCol w:w="3120"/>
        <w:gridCol w:w="2597"/>
      </w:tblGrid>
      <w:tr w:rsidR="00300E12">
        <w:trPr>
          <w:trHeight w:val="931"/>
        </w:trPr>
        <w:tc>
          <w:tcPr>
            <w:tcW w:w="893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1"/>
              <w:ind w:left="1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3094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1"/>
              <w:ind w:left="196" w:right="194"/>
              <w:rPr>
                <w:sz w:val="20"/>
              </w:rPr>
            </w:pPr>
            <w:r>
              <w:rPr>
                <w:sz w:val="20"/>
              </w:rPr>
              <w:t>Соответствует всем нормам</w:t>
            </w:r>
          </w:p>
        </w:tc>
        <w:tc>
          <w:tcPr>
            <w:tcW w:w="3120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1197" w:hanging="711"/>
              <w:jc w:val="left"/>
              <w:rPr>
                <w:sz w:val="20"/>
              </w:rPr>
            </w:pPr>
            <w:r>
              <w:rPr>
                <w:sz w:val="20"/>
              </w:rPr>
              <w:t>Не соответствует всем нормам</w:t>
            </w:r>
          </w:p>
        </w:tc>
        <w:tc>
          <w:tcPr>
            <w:tcW w:w="2597" w:type="dxa"/>
          </w:tcPr>
          <w:p w:rsidR="00300E12" w:rsidRDefault="00F85C8D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Соответствует, но есть периодические нарушения</w:t>
            </w:r>
          </w:p>
        </w:tc>
      </w:tr>
      <w:tr w:rsidR="00300E12">
        <w:trPr>
          <w:trHeight w:val="470"/>
        </w:trPr>
        <w:tc>
          <w:tcPr>
            <w:tcW w:w="893" w:type="dxa"/>
          </w:tcPr>
          <w:p w:rsidR="00300E12" w:rsidRDefault="00F85C8D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3094" w:type="dxa"/>
          </w:tcPr>
          <w:p w:rsidR="00300E12" w:rsidRDefault="00F85C8D">
            <w:pPr>
              <w:pStyle w:val="TableParagraph"/>
              <w:ind w:left="196" w:right="190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3120" w:type="dxa"/>
          </w:tcPr>
          <w:p w:rsidR="00300E12" w:rsidRDefault="00F85C8D">
            <w:pPr>
              <w:pStyle w:val="TableParagraph"/>
              <w:ind w:left="1251" w:right="124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2597" w:type="dxa"/>
          </w:tcPr>
          <w:p w:rsidR="00300E12" w:rsidRDefault="00F85C8D">
            <w:pPr>
              <w:pStyle w:val="TableParagraph"/>
              <w:ind w:left="213" w:right="20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00E12">
        <w:trPr>
          <w:trHeight w:val="469"/>
        </w:trPr>
        <w:tc>
          <w:tcPr>
            <w:tcW w:w="893" w:type="dxa"/>
          </w:tcPr>
          <w:p w:rsidR="00300E12" w:rsidRDefault="00F85C8D">
            <w:pPr>
              <w:pStyle w:val="TableParagraph"/>
              <w:ind w:left="1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3094" w:type="dxa"/>
          </w:tcPr>
          <w:p w:rsidR="00300E12" w:rsidRDefault="00F85C8D">
            <w:pPr>
              <w:pStyle w:val="TableParagraph"/>
              <w:ind w:left="196" w:right="194"/>
              <w:rPr>
                <w:sz w:val="20"/>
              </w:rPr>
            </w:pPr>
            <w:r>
              <w:rPr>
                <w:sz w:val="20"/>
              </w:rPr>
              <w:t>72,3%</w:t>
            </w:r>
          </w:p>
        </w:tc>
        <w:tc>
          <w:tcPr>
            <w:tcW w:w="3120" w:type="dxa"/>
          </w:tcPr>
          <w:p w:rsidR="00300E12" w:rsidRDefault="00F85C8D">
            <w:pPr>
              <w:pStyle w:val="TableParagraph"/>
              <w:ind w:left="1251" w:right="1250"/>
              <w:rPr>
                <w:sz w:val="20"/>
              </w:rPr>
            </w:pPr>
            <w:r>
              <w:rPr>
                <w:sz w:val="20"/>
              </w:rPr>
              <w:t>15,2%</w:t>
            </w:r>
          </w:p>
        </w:tc>
        <w:tc>
          <w:tcPr>
            <w:tcW w:w="2597" w:type="dxa"/>
          </w:tcPr>
          <w:p w:rsidR="00300E12" w:rsidRDefault="00F85C8D">
            <w:pPr>
              <w:pStyle w:val="TableParagraph"/>
              <w:ind w:left="209" w:right="207"/>
              <w:rPr>
                <w:sz w:val="20"/>
              </w:rPr>
            </w:pPr>
            <w:r>
              <w:rPr>
                <w:sz w:val="20"/>
              </w:rPr>
              <w:t>9,2%</w:t>
            </w:r>
          </w:p>
        </w:tc>
      </w:tr>
      <w:tr w:rsidR="00300E12">
        <w:trPr>
          <w:trHeight w:val="470"/>
        </w:trPr>
        <w:tc>
          <w:tcPr>
            <w:tcW w:w="9704" w:type="dxa"/>
            <w:gridSpan w:val="4"/>
          </w:tcPr>
          <w:p w:rsidR="00300E12" w:rsidRDefault="00F85C8D">
            <w:pPr>
              <w:pStyle w:val="TableParagraph"/>
              <w:ind w:left="827"/>
              <w:jc w:val="left"/>
              <w:rPr>
                <w:sz w:val="20"/>
              </w:rPr>
            </w:pPr>
            <w:r>
              <w:rPr>
                <w:sz w:val="20"/>
              </w:rPr>
              <w:t>Примечание: не удалось выявить наличие/отсутствие нарушений – на 20 объектах (3,3%)</w:t>
            </w:r>
          </w:p>
        </w:tc>
      </w:tr>
    </w:tbl>
    <w:p w:rsidR="00300E12" w:rsidRDefault="00F85C8D">
      <w:pPr>
        <w:pStyle w:val="a3"/>
        <w:spacing w:before="120"/>
        <w:ind w:left="322" w:right="325"/>
        <w:jc w:val="both"/>
      </w:pPr>
      <w:r>
        <w:t xml:space="preserve">Соответствие всем нормам и правилам зафиксировано у большинства торговых объектов (72,3%). В тоже время в некоторых торговых объектах присутствуют разовые и периодические нарушения, хотя все необходимое оборудование присутствует. Данные </w:t>
      </w:r>
      <w:proofErr w:type="gramStart"/>
      <w:r>
        <w:t>нарушения</w:t>
      </w:r>
      <w:proofErr w:type="gramEnd"/>
      <w:r>
        <w:t xml:space="preserve"> прежде вс</w:t>
      </w:r>
      <w:r>
        <w:t xml:space="preserve">его связаны с возможностью снизить налоговую базу. У 15,2% стационарных объектов полностью отсутствует необходимое контрольно-кассовое оборудование и торговый </w:t>
      </w:r>
      <w:proofErr w:type="spellStart"/>
      <w:r>
        <w:t>эквайринг</w:t>
      </w:r>
      <w:proofErr w:type="spellEnd"/>
      <w:r>
        <w:t>, а также присутствует способ платежа «с карты на карту ФЛ», что является грубым нарушен</w:t>
      </w:r>
      <w:r>
        <w:t>ием действующего законодательства РФ.</w:t>
      </w:r>
    </w:p>
    <w:p w:rsidR="00300E12" w:rsidRDefault="00F85C8D">
      <w:pPr>
        <w:pStyle w:val="2"/>
        <w:numPr>
          <w:ilvl w:val="1"/>
          <w:numId w:val="2"/>
        </w:numPr>
        <w:tabs>
          <w:tab w:val="left" w:pos="1030"/>
        </w:tabs>
        <w:spacing w:before="120"/>
        <w:jc w:val="both"/>
      </w:pPr>
      <w:r>
        <w:t>Выявленные нарушения (по основным</w:t>
      </w:r>
      <w:r>
        <w:rPr>
          <w:spacing w:val="-9"/>
        </w:rPr>
        <w:t xml:space="preserve"> </w:t>
      </w:r>
      <w:r>
        <w:t>нарушениям):</w:t>
      </w:r>
    </w:p>
    <w:p w:rsidR="00300E12" w:rsidRDefault="00300E12">
      <w:pPr>
        <w:pStyle w:val="a3"/>
        <w:spacing w:before="4" w:after="1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3095"/>
        <w:gridCol w:w="3119"/>
        <w:gridCol w:w="2538"/>
      </w:tblGrid>
      <w:tr w:rsidR="00300E12">
        <w:trPr>
          <w:trHeight w:val="700"/>
        </w:trPr>
        <w:tc>
          <w:tcPr>
            <w:tcW w:w="1018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168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3095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135" w:right="135"/>
              <w:rPr>
                <w:sz w:val="20"/>
              </w:rPr>
            </w:pPr>
            <w:r>
              <w:rPr>
                <w:sz w:val="20"/>
              </w:rPr>
              <w:t xml:space="preserve">Отсутствие ККМ и </w:t>
            </w:r>
            <w:proofErr w:type="spellStart"/>
            <w:r>
              <w:rPr>
                <w:sz w:val="20"/>
              </w:rPr>
              <w:t>эквайринга</w:t>
            </w:r>
            <w:proofErr w:type="spellEnd"/>
          </w:p>
        </w:tc>
        <w:tc>
          <w:tcPr>
            <w:tcW w:w="3119" w:type="dxa"/>
          </w:tcPr>
          <w:p w:rsidR="00300E12" w:rsidRDefault="00F85C8D">
            <w:pPr>
              <w:pStyle w:val="TableParagraph"/>
              <w:ind w:left="641" w:hanging="488"/>
              <w:jc w:val="left"/>
              <w:rPr>
                <w:sz w:val="20"/>
              </w:rPr>
            </w:pPr>
            <w:r>
              <w:rPr>
                <w:sz w:val="20"/>
              </w:rPr>
              <w:t>Осуществление переводов «с карты на карту» ФЛ</w:t>
            </w:r>
          </w:p>
        </w:tc>
        <w:tc>
          <w:tcPr>
            <w:tcW w:w="2538" w:type="dxa"/>
          </w:tcPr>
          <w:p w:rsidR="00300E12" w:rsidRDefault="00F85C8D">
            <w:pPr>
              <w:pStyle w:val="TableParagraph"/>
              <w:ind w:left="778" w:right="113" w:hanging="642"/>
              <w:jc w:val="left"/>
              <w:rPr>
                <w:sz w:val="20"/>
              </w:rPr>
            </w:pPr>
            <w:r>
              <w:rPr>
                <w:sz w:val="20"/>
              </w:rPr>
              <w:t>Не выдача контрольных чеков ККМ</w:t>
            </w:r>
          </w:p>
        </w:tc>
      </w:tr>
      <w:tr w:rsidR="00300E12">
        <w:trPr>
          <w:trHeight w:val="470"/>
        </w:trPr>
        <w:tc>
          <w:tcPr>
            <w:tcW w:w="1018" w:type="dxa"/>
          </w:tcPr>
          <w:p w:rsidR="00300E12" w:rsidRDefault="00F85C8D">
            <w:pPr>
              <w:pStyle w:val="TableParagraph"/>
              <w:ind w:left="165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3095" w:type="dxa"/>
          </w:tcPr>
          <w:p w:rsidR="00300E12" w:rsidRDefault="00F85C8D">
            <w:pPr>
              <w:pStyle w:val="TableParagraph"/>
              <w:ind w:left="135" w:right="129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3119" w:type="dxa"/>
          </w:tcPr>
          <w:p w:rsidR="00300E12" w:rsidRDefault="00F85C8D">
            <w:pPr>
              <w:pStyle w:val="TableParagraph"/>
              <w:ind w:left="457" w:right="45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538" w:type="dxa"/>
          </w:tcPr>
          <w:p w:rsidR="00300E12" w:rsidRDefault="00F85C8D">
            <w:pPr>
              <w:pStyle w:val="TableParagraph"/>
              <w:ind w:left="1016" w:right="101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300E12">
        <w:trPr>
          <w:trHeight w:val="469"/>
        </w:trPr>
        <w:tc>
          <w:tcPr>
            <w:tcW w:w="1018" w:type="dxa"/>
          </w:tcPr>
          <w:p w:rsidR="00300E12" w:rsidRDefault="00F85C8D">
            <w:pPr>
              <w:pStyle w:val="TableParagraph"/>
              <w:ind w:left="166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3095" w:type="dxa"/>
          </w:tcPr>
          <w:p w:rsidR="00300E12" w:rsidRDefault="00F85C8D">
            <w:pPr>
              <w:pStyle w:val="TableParagraph"/>
              <w:ind w:left="135" w:right="134"/>
              <w:rPr>
                <w:sz w:val="20"/>
              </w:rPr>
            </w:pPr>
            <w:r>
              <w:rPr>
                <w:sz w:val="20"/>
              </w:rPr>
              <w:t>15,2%</w:t>
            </w:r>
          </w:p>
        </w:tc>
        <w:tc>
          <w:tcPr>
            <w:tcW w:w="3119" w:type="dxa"/>
          </w:tcPr>
          <w:p w:rsidR="00300E12" w:rsidRDefault="00F85C8D">
            <w:pPr>
              <w:pStyle w:val="TableParagraph"/>
              <w:ind w:left="454" w:right="454"/>
              <w:rPr>
                <w:sz w:val="20"/>
              </w:rPr>
            </w:pPr>
            <w:r>
              <w:rPr>
                <w:sz w:val="20"/>
              </w:rPr>
              <w:t>9,2%</w:t>
            </w:r>
          </w:p>
        </w:tc>
        <w:tc>
          <w:tcPr>
            <w:tcW w:w="2538" w:type="dxa"/>
          </w:tcPr>
          <w:p w:rsidR="00300E12" w:rsidRDefault="00F85C8D">
            <w:pPr>
              <w:pStyle w:val="TableParagraph"/>
              <w:ind w:left="1016" w:right="1016"/>
              <w:rPr>
                <w:sz w:val="20"/>
              </w:rPr>
            </w:pPr>
            <w:r>
              <w:rPr>
                <w:sz w:val="20"/>
              </w:rPr>
              <w:t>4,0%</w:t>
            </w:r>
          </w:p>
        </w:tc>
      </w:tr>
      <w:tr w:rsidR="00300E12">
        <w:trPr>
          <w:trHeight w:val="470"/>
        </w:trPr>
        <w:tc>
          <w:tcPr>
            <w:tcW w:w="9770" w:type="dxa"/>
            <w:gridSpan w:val="4"/>
          </w:tcPr>
          <w:p w:rsidR="00300E12" w:rsidRDefault="00F85C8D">
            <w:pPr>
              <w:pStyle w:val="TableParagraph"/>
              <w:ind w:left="827"/>
              <w:jc w:val="left"/>
              <w:rPr>
                <w:sz w:val="20"/>
              </w:rPr>
            </w:pPr>
            <w:r>
              <w:rPr>
                <w:sz w:val="20"/>
              </w:rPr>
              <w:t>Примечание: удалось выявить общее количество нарушений – на 172 объектах (28,4%)</w:t>
            </w:r>
          </w:p>
        </w:tc>
      </w:tr>
    </w:tbl>
    <w:p w:rsidR="00300E12" w:rsidRDefault="00F85C8D">
      <w:pPr>
        <w:pStyle w:val="a3"/>
        <w:spacing w:before="120"/>
        <w:ind w:left="322"/>
        <w:jc w:val="both"/>
      </w:pPr>
      <w:r>
        <w:t>Наибольшее количество нарушений связано с отсутствием контрольно-кассовой техники</w:t>
      </w:r>
    </w:p>
    <w:p w:rsidR="00300E12" w:rsidRDefault="00300E12">
      <w:pPr>
        <w:jc w:val="both"/>
        <w:sectPr w:rsidR="00300E12">
          <w:pgSz w:w="11910" w:h="16840"/>
          <w:pgMar w:top="880" w:right="520" w:bottom="640" w:left="1380" w:header="0" w:footer="455" w:gutter="0"/>
          <w:cols w:space="720"/>
        </w:sectPr>
      </w:pPr>
    </w:p>
    <w:p w:rsidR="00300E12" w:rsidRDefault="00F85C8D">
      <w:pPr>
        <w:pStyle w:val="a3"/>
        <w:spacing w:before="73"/>
        <w:ind w:left="322" w:right="324"/>
        <w:jc w:val="both"/>
      </w:pPr>
      <w:r>
        <w:rPr>
          <w:smallCaps/>
          <w:w w:val="97"/>
        </w:rPr>
        <w:lastRenderedPageBreak/>
        <w:t>и</w:t>
      </w:r>
      <w:r>
        <w:t xml:space="preserve"> </w:t>
      </w:r>
      <w:r>
        <w:rPr>
          <w:spacing w:val="-9"/>
        </w:rPr>
        <w:t xml:space="preserve"> </w:t>
      </w:r>
      <w:r>
        <w:t>т</w:t>
      </w:r>
      <w:r>
        <w:rPr>
          <w:spacing w:val="-1"/>
        </w:rPr>
        <w:t>орг</w:t>
      </w:r>
      <w:r>
        <w:rPr>
          <w:spacing w:val="-3"/>
        </w:rPr>
        <w:t>о</w:t>
      </w:r>
      <w:r>
        <w:rPr>
          <w:spacing w:val="-1"/>
        </w:rPr>
        <w:t>во</w:t>
      </w:r>
      <w:r>
        <w:t>го</w:t>
      </w:r>
      <w:r>
        <w:t xml:space="preserve"> 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эква</w:t>
      </w:r>
      <w:r>
        <w:rPr>
          <w:spacing w:val="-2"/>
        </w:rPr>
        <w:t>й</w:t>
      </w:r>
      <w:r>
        <w:rPr>
          <w:spacing w:val="-1"/>
        </w:rPr>
        <w:t>р</w:t>
      </w:r>
      <w:r>
        <w:rPr>
          <w:spacing w:val="-2"/>
        </w:rPr>
        <w:t>и</w:t>
      </w:r>
      <w:r>
        <w:rPr>
          <w:spacing w:val="-3"/>
        </w:rPr>
        <w:t>н</w:t>
      </w:r>
      <w:r>
        <w:rPr>
          <w:spacing w:val="-2"/>
        </w:rPr>
        <w:t>г</w:t>
      </w:r>
      <w:r>
        <w:t>а</w:t>
      </w:r>
      <w:proofErr w:type="spellEnd"/>
      <w:r>
        <w:t xml:space="preserve"> </w:t>
      </w:r>
      <w:r>
        <w:rPr>
          <w:spacing w:val="-6"/>
        </w:rPr>
        <w:t xml:space="preserve"> </w:t>
      </w:r>
      <w:r>
        <w:t>–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</w:rPr>
        <w:t>15</w:t>
      </w:r>
      <w:r>
        <w:t>,</w:t>
      </w:r>
      <w:r>
        <w:rPr>
          <w:spacing w:val="-3"/>
        </w:rPr>
        <w:t>2</w:t>
      </w:r>
      <w:r>
        <w:rPr>
          <w:spacing w:val="-1"/>
        </w:rPr>
        <w:t>%</w:t>
      </w:r>
      <w:r>
        <w:t>.</w:t>
      </w:r>
      <w:r>
        <w:t xml:space="preserve"> </w:t>
      </w:r>
      <w:r>
        <w:rPr>
          <w:spacing w:val="-9"/>
        </w:rPr>
        <w:t xml:space="preserve"> </w:t>
      </w:r>
      <w:r>
        <w:t>Т</w:t>
      </w:r>
      <w:r>
        <w:rPr>
          <w:spacing w:val="-1"/>
        </w:rPr>
        <w:t>а</w:t>
      </w:r>
      <w:r>
        <w:rPr>
          <w:spacing w:val="-3"/>
        </w:rPr>
        <w:t>к</w:t>
      </w:r>
      <w:r>
        <w:t>же</w:t>
      </w:r>
      <w:r>
        <w:t xml:space="preserve"> </w:t>
      </w:r>
      <w:r>
        <w:rPr>
          <w:spacing w:val="-11"/>
        </w:rPr>
        <w:t xml:space="preserve"> </w:t>
      </w:r>
      <w:r>
        <w:t>б</w:t>
      </w:r>
      <w:r>
        <w:rPr>
          <w:spacing w:val="-3"/>
        </w:rPr>
        <w:t>о</w:t>
      </w:r>
      <w:r>
        <w:rPr>
          <w:spacing w:val="-2"/>
        </w:rPr>
        <w:t>л</w:t>
      </w:r>
      <w:r>
        <w:rPr>
          <w:spacing w:val="-1"/>
        </w:rPr>
        <w:t>е</w:t>
      </w:r>
      <w:r>
        <w:t>е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</w:rPr>
        <w:t>9</w:t>
      </w:r>
      <w:r>
        <w:t>%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</w:rPr>
        <w:t>р</w:t>
      </w:r>
      <w:r>
        <w:rPr>
          <w:spacing w:val="-4"/>
        </w:rPr>
        <w:t>е</w:t>
      </w:r>
      <w:r>
        <w:t>гу</w:t>
      </w:r>
      <w:r>
        <w:rPr>
          <w:spacing w:val="-2"/>
        </w:rPr>
        <w:t>л</w:t>
      </w:r>
      <w:r>
        <w:t>ярно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t>сп</w:t>
      </w:r>
      <w:r>
        <w:rPr>
          <w:spacing w:val="-3"/>
        </w:rPr>
        <w:t>о</w:t>
      </w:r>
      <w:r>
        <w:t>льзуют</w:t>
      </w:r>
      <w:r>
        <w:t xml:space="preserve"> </w:t>
      </w:r>
      <w:r>
        <w:rPr>
          <w:spacing w:val="-11"/>
        </w:rPr>
        <w:t xml:space="preserve"> </w:t>
      </w:r>
      <w:r>
        <w:t>пер</w:t>
      </w:r>
      <w:r>
        <w:rPr>
          <w:spacing w:val="-3"/>
        </w:rPr>
        <w:t>е</w:t>
      </w:r>
      <w:r>
        <w:rPr>
          <w:spacing w:val="-1"/>
        </w:rPr>
        <w:t>во</w:t>
      </w:r>
      <w:r>
        <w:t>ды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</w:rPr>
        <w:t>«с кар</w:t>
      </w:r>
      <w:r>
        <w:t>ты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</w:rPr>
        <w:t>н</w:t>
      </w:r>
      <w:r>
        <w:t>а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</w:rPr>
        <w:t>кар</w:t>
      </w:r>
      <w:r>
        <w:t>ту»</w:t>
      </w:r>
      <w:r>
        <w:t xml:space="preserve"> </w:t>
      </w:r>
      <w:r>
        <w:rPr>
          <w:spacing w:val="-23"/>
        </w:rPr>
        <w:t xml:space="preserve"> </w:t>
      </w:r>
      <w:r>
        <w:t>ф</w:t>
      </w:r>
      <w:r>
        <w:rPr>
          <w:spacing w:val="-2"/>
        </w:rPr>
        <w:t>и</w:t>
      </w:r>
      <w:r>
        <w:rPr>
          <w:spacing w:val="-1"/>
        </w:rPr>
        <w:t>з</w:t>
      </w:r>
      <w:r>
        <w:rPr>
          <w:spacing w:val="-2"/>
        </w:rPr>
        <w:t>и</w:t>
      </w:r>
      <w:r>
        <w:t>чес</w:t>
      </w:r>
      <w:r>
        <w:rPr>
          <w:spacing w:val="-1"/>
        </w:rPr>
        <w:t>к</w:t>
      </w:r>
      <w:r>
        <w:rPr>
          <w:spacing w:val="-2"/>
        </w:rPr>
        <w:t>и</w:t>
      </w:r>
      <w:r>
        <w:t>х</w:t>
      </w:r>
      <w:r>
        <w:t xml:space="preserve"> </w:t>
      </w:r>
      <w:r>
        <w:rPr>
          <w:spacing w:val="-20"/>
        </w:rPr>
        <w:t xml:space="preserve"> </w:t>
      </w:r>
      <w:r>
        <w:t>л</w:t>
      </w:r>
      <w:r>
        <w:rPr>
          <w:spacing w:val="-2"/>
        </w:rPr>
        <w:t>иц</w:t>
      </w:r>
      <w:r>
        <w:t>,</w:t>
      </w:r>
      <w:r>
        <w:t xml:space="preserve"> </w:t>
      </w:r>
      <w:r>
        <w:rPr>
          <w:spacing w:val="-19"/>
        </w:rPr>
        <w:t xml:space="preserve"> </w:t>
      </w:r>
      <w:r>
        <w:t>в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</w:rPr>
        <w:t>осно</w:t>
      </w:r>
      <w:r>
        <w:rPr>
          <w:spacing w:val="-3"/>
        </w:rPr>
        <w:t>в</w:t>
      </w:r>
      <w:r>
        <w:rPr>
          <w:spacing w:val="-1"/>
        </w:rPr>
        <w:t>н</w:t>
      </w:r>
      <w:r>
        <w:rPr>
          <w:spacing w:val="-3"/>
        </w:rPr>
        <w:t>о</w:t>
      </w:r>
      <w:r>
        <w:t>м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</w:rPr>
        <w:t>н</w:t>
      </w:r>
      <w:r>
        <w:t>а</w:t>
      </w:r>
      <w:r>
        <w:t xml:space="preserve"> </w:t>
      </w:r>
      <w:r>
        <w:rPr>
          <w:spacing w:val="-20"/>
        </w:rPr>
        <w:t xml:space="preserve"> </w:t>
      </w:r>
      <w:r>
        <w:t>л</w:t>
      </w:r>
      <w:r>
        <w:rPr>
          <w:spacing w:val="-2"/>
        </w:rPr>
        <w:t>и</w:t>
      </w:r>
      <w:r>
        <w:rPr>
          <w:spacing w:val="-3"/>
        </w:rPr>
        <w:t>ч</w:t>
      </w:r>
      <w:r>
        <w:rPr>
          <w:spacing w:val="-1"/>
        </w:rPr>
        <w:t>ну</w:t>
      </w:r>
      <w:r>
        <w:t>ю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</w:rPr>
        <w:t>кар</w:t>
      </w:r>
      <w:r>
        <w:t>ту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</w:rPr>
        <w:t>ру</w:t>
      </w:r>
      <w:r>
        <w:rPr>
          <w:spacing w:val="-4"/>
        </w:rPr>
        <w:t>к</w:t>
      </w:r>
      <w:r>
        <w:rPr>
          <w:spacing w:val="-1"/>
        </w:rPr>
        <w:t>оводите</w:t>
      </w:r>
      <w:r>
        <w:rPr>
          <w:spacing w:val="-3"/>
        </w:rPr>
        <w:t>л</w:t>
      </w:r>
      <w:r>
        <w:t>я</w:t>
      </w:r>
      <w:r>
        <w:t xml:space="preserve"> </w:t>
      </w:r>
      <w:r>
        <w:rPr>
          <w:spacing w:val="-19"/>
        </w:rPr>
        <w:t xml:space="preserve"> </w:t>
      </w:r>
      <w:r>
        <w:t>т</w:t>
      </w:r>
      <w:r>
        <w:rPr>
          <w:spacing w:val="-1"/>
        </w:rPr>
        <w:t>орг</w:t>
      </w:r>
      <w:r>
        <w:rPr>
          <w:spacing w:val="-3"/>
        </w:rPr>
        <w:t>о</w:t>
      </w:r>
      <w:r>
        <w:rPr>
          <w:spacing w:val="-1"/>
        </w:rPr>
        <w:t>во</w:t>
      </w:r>
      <w:r>
        <w:t xml:space="preserve">го </w:t>
      </w:r>
      <w:r>
        <w:rPr>
          <w:spacing w:val="-1"/>
        </w:rPr>
        <w:t>об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2"/>
        </w:rPr>
        <w:t>к</w:t>
      </w:r>
      <w:r>
        <w:t>т</w:t>
      </w:r>
      <w:r>
        <w:rPr>
          <w:spacing w:val="-4"/>
        </w:rPr>
        <w:t>а</w:t>
      </w:r>
      <w:r>
        <w:t>.</w:t>
      </w:r>
      <w:r>
        <w:rPr>
          <w:spacing w:val="18"/>
        </w:rPr>
        <w:t xml:space="preserve"> </w:t>
      </w:r>
      <w:r>
        <w:rPr>
          <w:spacing w:val="-4"/>
        </w:rPr>
        <w:t>Е</w:t>
      </w:r>
      <w:r>
        <w:t>ще</w:t>
      </w:r>
      <w:r>
        <w:rPr>
          <w:spacing w:val="15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>д</w:t>
      </w:r>
      <w:r>
        <w:rPr>
          <w:spacing w:val="-1"/>
        </w:rPr>
        <w:t>н</w:t>
      </w:r>
      <w:r>
        <w:t>о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>р</w:t>
      </w:r>
      <w:r>
        <w:t>ушен</w:t>
      </w:r>
      <w:r>
        <w:rPr>
          <w:spacing w:val="-2"/>
        </w:rPr>
        <w:t>и</w:t>
      </w:r>
      <w:r>
        <w:t>е</w:t>
      </w:r>
      <w:r>
        <w:rPr>
          <w:spacing w:val="15"/>
        </w:rPr>
        <w:t xml:space="preserve"> </w:t>
      </w:r>
      <w:r>
        <w:t>(</w:t>
      </w:r>
      <w:r>
        <w:rPr>
          <w:spacing w:val="-3"/>
        </w:rPr>
        <w:t>4</w:t>
      </w:r>
      <w:r>
        <w:t>,</w:t>
      </w:r>
      <w:r>
        <w:rPr>
          <w:spacing w:val="-1"/>
        </w:rPr>
        <w:t>0</w:t>
      </w:r>
      <w:r>
        <w:rPr>
          <w:spacing w:val="-3"/>
        </w:rPr>
        <w:t>%</w:t>
      </w:r>
      <w:r>
        <w:t>)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в</w:t>
      </w:r>
      <w:r>
        <w:t>я</w:t>
      </w:r>
      <w:r>
        <w:rPr>
          <w:spacing w:val="-1"/>
        </w:rPr>
        <w:t>зан</w:t>
      </w:r>
      <w:r>
        <w:t>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нев</w:t>
      </w:r>
      <w:r>
        <w:rPr>
          <w:spacing w:val="-3"/>
        </w:rPr>
        <w:t>ы</w:t>
      </w:r>
      <w:r>
        <w:t>д</w:t>
      </w:r>
      <w:r>
        <w:rPr>
          <w:spacing w:val="-1"/>
        </w:rPr>
        <w:t>аче</w:t>
      </w:r>
      <w:r>
        <w:t>й</w:t>
      </w:r>
      <w:r>
        <w:rPr>
          <w:spacing w:val="13"/>
        </w:rPr>
        <w:t xml:space="preserve"> </w:t>
      </w:r>
      <w:r>
        <w:rPr>
          <w:spacing w:val="-1"/>
        </w:rPr>
        <w:t>контр</w:t>
      </w:r>
      <w:r>
        <w:rPr>
          <w:spacing w:val="-4"/>
        </w:rPr>
        <w:t>о</w:t>
      </w:r>
      <w:r>
        <w:t>л</w:t>
      </w:r>
      <w:r>
        <w:rPr>
          <w:spacing w:val="-3"/>
        </w:rPr>
        <w:t>ь</w:t>
      </w:r>
      <w:r>
        <w:rPr>
          <w:spacing w:val="-1"/>
        </w:rPr>
        <w:t>но</w:t>
      </w:r>
      <w:r>
        <w:t>го</w:t>
      </w:r>
      <w:r>
        <w:rPr>
          <w:spacing w:val="15"/>
        </w:rPr>
        <w:t xml:space="preserve"> </w:t>
      </w:r>
      <w:r>
        <w:t>че</w:t>
      </w:r>
      <w:r>
        <w:rPr>
          <w:spacing w:val="-1"/>
        </w:rPr>
        <w:t>к</w:t>
      </w:r>
      <w:r>
        <w:t>а</w:t>
      </w:r>
      <w:r>
        <w:rPr>
          <w:spacing w:val="1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4"/>
        </w:rPr>
        <w:t xml:space="preserve"> </w:t>
      </w:r>
      <w:r>
        <w:t>по</w:t>
      </w:r>
      <w:r>
        <w:rPr>
          <w:spacing w:val="-1"/>
        </w:rPr>
        <w:t>к</w:t>
      </w:r>
      <w:r>
        <w:t>упку т</w:t>
      </w:r>
      <w:r>
        <w:rPr>
          <w:spacing w:val="-1"/>
        </w:rPr>
        <w:t>оваро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>и</w:t>
      </w:r>
      <w:r>
        <w:t>ли</w:t>
      </w:r>
      <w:r>
        <w:t xml:space="preserve"> </w:t>
      </w:r>
      <w:r>
        <w:t>у</w:t>
      </w:r>
      <w:r>
        <w:rPr>
          <w:spacing w:val="-3"/>
        </w:rPr>
        <w:t>с</w:t>
      </w:r>
      <w:r>
        <w:t>лу</w:t>
      </w:r>
      <w:r>
        <w:rPr>
          <w:spacing w:val="-2"/>
        </w:rPr>
        <w:t>г</w:t>
      </w:r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яв</w:t>
      </w:r>
      <w:r>
        <w:rPr>
          <w:spacing w:val="-2"/>
        </w:rPr>
        <w:t>л</w:t>
      </w:r>
      <w:r>
        <w:t>яется</w:t>
      </w:r>
      <w:r>
        <w:rPr>
          <w:spacing w:val="-2"/>
        </w:rPr>
        <w:t xml:space="preserve"> </w:t>
      </w:r>
      <w:r>
        <w:t>г</w:t>
      </w:r>
      <w:r>
        <w:rPr>
          <w:spacing w:val="-1"/>
        </w:rPr>
        <w:t>р</w:t>
      </w:r>
      <w:r>
        <w:rPr>
          <w:spacing w:val="-3"/>
        </w:rPr>
        <w:t>у</w:t>
      </w:r>
      <w:r>
        <w:t>бым</w:t>
      </w:r>
      <w:r>
        <w:rPr>
          <w:spacing w:val="-3"/>
        </w:rPr>
        <w:t xml:space="preserve"> </w:t>
      </w:r>
      <w:r>
        <w:rPr>
          <w:spacing w:val="-1"/>
        </w:rPr>
        <w:t>нар</w:t>
      </w:r>
      <w:r>
        <w:rPr>
          <w:spacing w:val="-3"/>
        </w:rPr>
        <w:t>у</w:t>
      </w:r>
      <w:r>
        <w:rPr>
          <w:spacing w:val="-1"/>
        </w:rPr>
        <w:t>ше</w:t>
      </w:r>
      <w:r>
        <w:t>н</w:t>
      </w:r>
      <w:r>
        <w:rPr>
          <w:spacing w:val="-2"/>
        </w:rPr>
        <w:t>и</w:t>
      </w:r>
      <w:r>
        <w:rPr>
          <w:spacing w:val="-1"/>
        </w:rPr>
        <w:t>е</w:t>
      </w:r>
      <w:r>
        <w:t>м</w:t>
      </w:r>
      <w:r>
        <w:rPr>
          <w:spacing w:val="-3"/>
        </w:rPr>
        <w:t xml:space="preserve"> </w:t>
      </w:r>
      <w:r>
        <w:t>д</w:t>
      </w:r>
      <w:r>
        <w:rPr>
          <w:spacing w:val="-1"/>
        </w:rPr>
        <w:t>е</w:t>
      </w:r>
      <w:r>
        <w:rPr>
          <w:spacing w:val="-2"/>
        </w:rPr>
        <w:t>й</w:t>
      </w:r>
      <w:r>
        <w:t>ству</w:t>
      </w:r>
      <w:r>
        <w:rPr>
          <w:spacing w:val="-3"/>
        </w:rPr>
        <w:t>ю</w:t>
      </w:r>
      <w:r>
        <w:t>щ</w:t>
      </w:r>
      <w:r>
        <w:rPr>
          <w:spacing w:val="-3"/>
        </w:rPr>
        <w:t>е</w:t>
      </w:r>
      <w:r>
        <w:t>го</w:t>
      </w:r>
      <w:r>
        <w:rPr>
          <w:spacing w:val="-2"/>
        </w:rPr>
        <w:t xml:space="preserve"> </w:t>
      </w:r>
      <w:r>
        <w:rPr>
          <w:spacing w:val="-1"/>
        </w:rPr>
        <w:t>законо</w:t>
      </w:r>
      <w:r>
        <w:t>д</w:t>
      </w:r>
      <w:r>
        <w:rPr>
          <w:spacing w:val="-1"/>
        </w:rPr>
        <w:t>ате</w:t>
      </w:r>
      <w:r>
        <w:rPr>
          <w:spacing w:val="-3"/>
        </w:rPr>
        <w:t>л</w:t>
      </w:r>
      <w:r>
        <w:t>ьств</w:t>
      </w:r>
      <w:r>
        <w:rPr>
          <w:spacing w:val="-3"/>
        </w:rPr>
        <w:t>а</w:t>
      </w:r>
      <w:r>
        <w:t>.</w:t>
      </w:r>
    </w:p>
    <w:p w:rsidR="00300E12" w:rsidRDefault="00F85C8D">
      <w:pPr>
        <w:pStyle w:val="2"/>
        <w:numPr>
          <w:ilvl w:val="1"/>
          <w:numId w:val="2"/>
        </w:numPr>
        <w:tabs>
          <w:tab w:val="left" w:pos="1030"/>
        </w:tabs>
        <w:spacing w:before="119"/>
        <w:ind w:left="1041" w:right="462" w:hanging="720"/>
        <w:jc w:val="both"/>
      </w:pPr>
      <w:r>
        <w:t>Сопоставление нарушений к зависимости от формы собственности (ЮЛ или ИП):</w:t>
      </w:r>
    </w:p>
    <w:p w:rsidR="00300E12" w:rsidRDefault="00300E12">
      <w:pPr>
        <w:pStyle w:val="a3"/>
        <w:spacing w:before="5" w:after="1"/>
        <w:rPr>
          <w:b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2694"/>
        <w:gridCol w:w="3119"/>
        <w:gridCol w:w="2414"/>
      </w:tblGrid>
      <w:tr w:rsidR="00300E12">
        <w:trPr>
          <w:trHeight w:val="700"/>
        </w:trPr>
        <w:tc>
          <w:tcPr>
            <w:tcW w:w="1541" w:type="dxa"/>
          </w:tcPr>
          <w:p w:rsidR="00300E12" w:rsidRDefault="00F85C8D">
            <w:pPr>
              <w:pStyle w:val="TableParagraph"/>
              <w:ind w:left="179" w:firstLine="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Всего </w:t>
            </w:r>
            <w:r>
              <w:rPr>
                <w:b/>
                <w:w w:val="95"/>
                <w:sz w:val="20"/>
              </w:rPr>
              <w:t>нарушений:</w:t>
            </w:r>
          </w:p>
        </w:tc>
        <w:tc>
          <w:tcPr>
            <w:tcW w:w="2694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100" w:right="98"/>
              <w:rPr>
                <w:sz w:val="20"/>
              </w:rPr>
            </w:pPr>
            <w:r>
              <w:rPr>
                <w:sz w:val="20"/>
              </w:rPr>
              <w:t>Юридические лица (ООО)</w:t>
            </w:r>
          </w:p>
        </w:tc>
        <w:tc>
          <w:tcPr>
            <w:tcW w:w="3119" w:type="dxa"/>
          </w:tcPr>
          <w:p w:rsidR="00300E12" w:rsidRDefault="00F85C8D">
            <w:pPr>
              <w:pStyle w:val="TableParagraph"/>
              <w:ind w:left="457" w:right="454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</w:p>
          <w:p w:rsidR="00300E12" w:rsidRDefault="00F85C8D">
            <w:pPr>
              <w:pStyle w:val="TableParagraph"/>
              <w:spacing w:before="1"/>
              <w:ind w:left="457" w:right="454"/>
              <w:rPr>
                <w:sz w:val="20"/>
              </w:rPr>
            </w:pPr>
            <w:r>
              <w:rPr>
                <w:sz w:val="20"/>
              </w:rPr>
              <w:t>предприниматели (ИП)</w:t>
            </w:r>
          </w:p>
        </w:tc>
        <w:tc>
          <w:tcPr>
            <w:tcW w:w="2414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634" w:right="634"/>
              <w:rPr>
                <w:sz w:val="20"/>
              </w:rPr>
            </w:pPr>
            <w:r>
              <w:rPr>
                <w:sz w:val="20"/>
              </w:rPr>
              <w:t>Нет данных</w:t>
            </w:r>
          </w:p>
        </w:tc>
      </w:tr>
      <w:tr w:rsidR="00300E12">
        <w:trPr>
          <w:trHeight w:val="470"/>
        </w:trPr>
        <w:tc>
          <w:tcPr>
            <w:tcW w:w="1541" w:type="dxa"/>
          </w:tcPr>
          <w:p w:rsidR="00300E12" w:rsidRDefault="00F85C8D">
            <w:pPr>
              <w:pStyle w:val="TableParagraph"/>
              <w:ind w:left="491" w:right="487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2694" w:type="dxa"/>
          </w:tcPr>
          <w:p w:rsidR="00300E12" w:rsidRDefault="00F85C8D">
            <w:pPr>
              <w:pStyle w:val="TableParagraph"/>
              <w:ind w:left="100" w:righ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19" w:type="dxa"/>
          </w:tcPr>
          <w:p w:rsidR="00300E12" w:rsidRDefault="00F85C8D">
            <w:pPr>
              <w:pStyle w:val="TableParagraph"/>
              <w:ind w:left="457" w:right="453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2414" w:type="dxa"/>
          </w:tcPr>
          <w:p w:rsidR="00300E12" w:rsidRDefault="00F85C8D">
            <w:pPr>
              <w:pStyle w:val="TableParagraph"/>
              <w:ind w:left="634" w:right="63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300E12">
        <w:trPr>
          <w:trHeight w:val="470"/>
        </w:trPr>
        <w:tc>
          <w:tcPr>
            <w:tcW w:w="1541" w:type="dxa"/>
          </w:tcPr>
          <w:p w:rsidR="00300E12" w:rsidRDefault="00F85C8D">
            <w:pPr>
              <w:pStyle w:val="TableParagraph"/>
              <w:ind w:left="492" w:right="487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2694" w:type="dxa"/>
          </w:tcPr>
          <w:p w:rsidR="00300E12" w:rsidRDefault="00F85C8D">
            <w:pPr>
              <w:pStyle w:val="TableParagraph"/>
              <w:ind w:left="100" w:right="95"/>
              <w:rPr>
                <w:sz w:val="20"/>
              </w:rPr>
            </w:pPr>
            <w:r>
              <w:rPr>
                <w:sz w:val="20"/>
              </w:rPr>
              <w:t>7,5%</w:t>
            </w:r>
          </w:p>
        </w:tc>
        <w:tc>
          <w:tcPr>
            <w:tcW w:w="3119" w:type="dxa"/>
          </w:tcPr>
          <w:p w:rsidR="00300E12" w:rsidRDefault="00F85C8D">
            <w:pPr>
              <w:pStyle w:val="TableParagraph"/>
              <w:ind w:left="455" w:right="454"/>
              <w:rPr>
                <w:sz w:val="20"/>
              </w:rPr>
            </w:pPr>
            <w:r>
              <w:rPr>
                <w:sz w:val="20"/>
              </w:rPr>
              <w:t>75,5%</w:t>
            </w:r>
          </w:p>
        </w:tc>
        <w:tc>
          <w:tcPr>
            <w:tcW w:w="2414" w:type="dxa"/>
          </w:tcPr>
          <w:p w:rsidR="00300E12" w:rsidRDefault="00F85C8D">
            <w:pPr>
              <w:pStyle w:val="TableParagraph"/>
              <w:ind w:left="634" w:right="631"/>
              <w:rPr>
                <w:sz w:val="20"/>
              </w:rPr>
            </w:pPr>
            <w:r>
              <w:rPr>
                <w:sz w:val="20"/>
              </w:rPr>
              <w:t>16,8%*</w:t>
            </w:r>
          </w:p>
        </w:tc>
      </w:tr>
      <w:tr w:rsidR="00300E12">
        <w:trPr>
          <w:trHeight w:val="470"/>
        </w:trPr>
        <w:tc>
          <w:tcPr>
            <w:tcW w:w="9768" w:type="dxa"/>
            <w:gridSpan w:val="4"/>
          </w:tcPr>
          <w:p w:rsidR="00300E12" w:rsidRDefault="00F85C8D">
            <w:pPr>
              <w:pStyle w:val="TableParagraph"/>
              <w:ind w:left="825"/>
              <w:jc w:val="left"/>
              <w:rPr>
                <w:sz w:val="20"/>
              </w:rPr>
            </w:pPr>
            <w:r>
              <w:rPr>
                <w:sz w:val="20"/>
              </w:rPr>
              <w:t>* Примечание: нарушения выявлены, но нет данных по форме собственности объекта</w:t>
            </w:r>
          </w:p>
        </w:tc>
      </w:tr>
    </w:tbl>
    <w:p w:rsidR="00300E12" w:rsidRDefault="00F85C8D">
      <w:pPr>
        <w:pStyle w:val="a3"/>
        <w:spacing w:before="120"/>
        <w:ind w:left="322" w:right="325"/>
        <w:jc w:val="both"/>
      </w:pPr>
      <w:r>
        <w:t>Основное количество нарушений выявлено в предпринимательской деятельности ИП – 75,5%. Нарушений в деятельности юридических лиц составляет всего 7,5%.</w:t>
      </w:r>
    </w:p>
    <w:p w:rsidR="00300E12" w:rsidRDefault="00F85C8D">
      <w:pPr>
        <w:pStyle w:val="2"/>
        <w:numPr>
          <w:ilvl w:val="1"/>
          <w:numId w:val="2"/>
        </w:numPr>
        <w:tabs>
          <w:tab w:val="left" w:pos="1029"/>
          <w:tab w:val="left" w:pos="1030"/>
        </w:tabs>
        <w:spacing w:before="121"/>
      </w:pPr>
      <w:r>
        <w:t>Сопоставление нарушений к зависимости от вида</w:t>
      </w:r>
      <w:r>
        <w:rPr>
          <w:spacing w:val="-9"/>
        </w:rPr>
        <w:t xml:space="preserve"> </w:t>
      </w:r>
      <w:r>
        <w:t>деятельности:</w:t>
      </w:r>
    </w:p>
    <w:p w:rsidR="00300E12" w:rsidRDefault="00300E12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071"/>
        <w:gridCol w:w="1080"/>
        <w:gridCol w:w="1198"/>
        <w:gridCol w:w="1198"/>
        <w:gridCol w:w="1196"/>
        <w:gridCol w:w="1199"/>
        <w:gridCol w:w="1225"/>
      </w:tblGrid>
      <w:tr w:rsidR="00300E12">
        <w:trPr>
          <w:trHeight w:val="1161"/>
        </w:trPr>
        <w:tc>
          <w:tcPr>
            <w:tcW w:w="1445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1"/>
              <w:ind w:left="134" w:firstLine="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Всего </w:t>
            </w:r>
            <w:r>
              <w:rPr>
                <w:b/>
                <w:w w:val="95"/>
                <w:sz w:val="20"/>
              </w:rPr>
              <w:t>нарушений:</w:t>
            </w:r>
          </w:p>
        </w:tc>
        <w:tc>
          <w:tcPr>
            <w:tcW w:w="1071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1"/>
              <w:ind w:left="289" w:hanging="7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 xml:space="preserve">Сфера </w:t>
            </w:r>
            <w:r>
              <w:rPr>
                <w:sz w:val="20"/>
              </w:rPr>
              <w:t>услуг</w:t>
            </w:r>
          </w:p>
        </w:tc>
        <w:tc>
          <w:tcPr>
            <w:tcW w:w="1080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136" w:right="125" w:hanging="4"/>
              <w:rPr>
                <w:sz w:val="20"/>
              </w:rPr>
            </w:pPr>
            <w:r>
              <w:rPr>
                <w:sz w:val="20"/>
              </w:rPr>
              <w:t>Авт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сервис и т.п.</w:t>
            </w:r>
          </w:p>
        </w:tc>
        <w:tc>
          <w:tcPr>
            <w:tcW w:w="1198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300E12" w:rsidRDefault="00F85C8D">
            <w:pPr>
              <w:pStyle w:val="TableParagraph"/>
              <w:spacing w:before="1"/>
              <w:ind w:left="220" w:hanging="7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Продукты </w:t>
            </w:r>
            <w:r>
              <w:rPr>
                <w:sz w:val="20"/>
              </w:rPr>
              <w:t>питания</w:t>
            </w:r>
          </w:p>
        </w:tc>
        <w:tc>
          <w:tcPr>
            <w:tcW w:w="1198" w:type="dxa"/>
          </w:tcPr>
          <w:p w:rsidR="00300E12" w:rsidRDefault="00F85C8D">
            <w:pPr>
              <w:pStyle w:val="TableParagraph"/>
              <w:ind w:left="246" w:right="152" w:hanging="92"/>
              <w:jc w:val="lef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Непрод</w:t>
            </w:r>
            <w:proofErr w:type="gramStart"/>
            <w:r>
              <w:rPr>
                <w:w w:val="95"/>
                <w:sz w:val="20"/>
              </w:rPr>
              <w:t>о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вольст</w:t>
            </w:r>
            <w:proofErr w:type="spellEnd"/>
            <w:r>
              <w:rPr>
                <w:sz w:val="20"/>
              </w:rPr>
              <w:t>- венные товары</w:t>
            </w:r>
          </w:p>
        </w:tc>
        <w:tc>
          <w:tcPr>
            <w:tcW w:w="1196" w:type="dxa"/>
          </w:tcPr>
          <w:p w:rsidR="00300E12" w:rsidRDefault="00F85C8D">
            <w:pPr>
              <w:pStyle w:val="TableParagraph"/>
              <w:ind w:left="145" w:right="124" w:hanging="1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Спиртные </w:t>
            </w:r>
            <w:r>
              <w:rPr>
                <w:sz w:val="20"/>
              </w:rPr>
              <w:t>напитки и табачные изделия</w:t>
            </w:r>
          </w:p>
        </w:tc>
        <w:tc>
          <w:tcPr>
            <w:tcW w:w="1199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196" w:right="18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Общес</w:t>
            </w:r>
            <w:proofErr w:type="gramStart"/>
            <w:r>
              <w:rPr>
                <w:w w:val="95"/>
                <w:sz w:val="20"/>
              </w:rPr>
              <w:t>т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венное питание</w:t>
            </w:r>
          </w:p>
        </w:tc>
        <w:tc>
          <w:tcPr>
            <w:tcW w:w="1225" w:type="dxa"/>
          </w:tcPr>
          <w:p w:rsidR="00300E12" w:rsidRDefault="00300E12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300E12" w:rsidRDefault="00F85C8D">
            <w:pPr>
              <w:pStyle w:val="TableParagraph"/>
              <w:spacing w:before="0"/>
              <w:ind w:left="239" w:right="239" w:firstLine="6"/>
              <w:rPr>
                <w:sz w:val="20"/>
              </w:rPr>
            </w:pPr>
            <w:r>
              <w:rPr>
                <w:sz w:val="20"/>
              </w:rPr>
              <w:t xml:space="preserve">Не </w:t>
            </w:r>
            <w:proofErr w:type="spellStart"/>
            <w:r>
              <w:rPr>
                <w:w w:val="95"/>
                <w:sz w:val="20"/>
              </w:rPr>
              <w:t>опред</w:t>
            </w:r>
            <w:proofErr w:type="gramStart"/>
            <w:r>
              <w:rPr>
                <w:w w:val="95"/>
                <w:sz w:val="20"/>
              </w:rPr>
              <w:t>е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лено</w:t>
            </w:r>
            <w:proofErr w:type="spellEnd"/>
          </w:p>
        </w:tc>
      </w:tr>
      <w:tr w:rsidR="00300E12">
        <w:trPr>
          <w:trHeight w:val="470"/>
        </w:trPr>
        <w:tc>
          <w:tcPr>
            <w:tcW w:w="1445" w:type="dxa"/>
          </w:tcPr>
          <w:p w:rsidR="00300E12" w:rsidRDefault="00F85C8D">
            <w:pPr>
              <w:pStyle w:val="TableParagraph"/>
              <w:ind w:left="443" w:right="439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1071" w:type="dxa"/>
          </w:tcPr>
          <w:p w:rsidR="00300E12" w:rsidRDefault="00F85C8D">
            <w:pPr>
              <w:pStyle w:val="TableParagraph"/>
              <w:ind w:left="227" w:right="22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0" w:type="dxa"/>
          </w:tcPr>
          <w:p w:rsidR="00300E12" w:rsidRDefault="00F85C8D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8" w:type="dxa"/>
          </w:tcPr>
          <w:p w:rsidR="00300E12" w:rsidRDefault="00F85C8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8" w:type="dxa"/>
          </w:tcPr>
          <w:p w:rsidR="00300E12" w:rsidRDefault="00F85C8D">
            <w:pPr>
              <w:pStyle w:val="TableParagraph"/>
              <w:ind w:left="290" w:right="28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96" w:type="dxa"/>
          </w:tcPr>
          <w:p w:rsidR="00300E12" w:rsidRDefault="00F85C8D">
            <w:pPr>
              <w:pStyle w:val="TableParagraph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9" w:type="dxa"/>
          </w:tcPr>
          <w:p w:rsidR="00300E12" w:rsidRDefault="00F85C8D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25" w:type="dxa"/>
          </w:tcPr>
          <w:p w:rsidR="00300E12" w:rsidRDefault="00F85C8D">
            <w:pPr>
              <w:pStyle w:val="TableParagraph"/>
              <w:ind w:left="303" w:right="3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00E12">
        <w:trPr>
          <w:trHeight w:val="470"/>
        </w:trPr>
        <w:tc>
          <w:tcPr>
            <w:tcW w:w="1445" w:type="dxa"/>
          </w:tcPr>
          <w:p w:rsidR="00300E12" w:rsidRDefault="00F85C8D">
            <w:pPr>
              <w:pStyle w:val="TableParagraph"/>
              <w:ind w:left="444" w:right="439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071" w:type="dxa"/>
          </w:tcPr>
          <w:p w:rsidR="00300E12" w:rsidRDefault="00F85C8D">
            <w:pPr>
              <w:pStyle w:val="TableParagraph"/>
              <w:ind w:left="228" w:right="224"/>
              <w:rPr>
                <w:sz w:val="20"/>
              </w:rPr>
            </w:pPr>
            <w:r>
              <w:rPr>
                <w:sz w:val="20"/>
              </w:rPr>
              <w:t>22,6%</w:t>
            </w:r>
          </w:p>
        </w:tc>
        <w:tc>
          <w:tcPr>
            <w:tcW w:w="1080" w:type="dxa"/>
          </w:tcPr>
          <w:p w:rsidR="00300E12" w:rsidRDefault="00F85C8D">
            <w:pPr>
              <w:pStyle w:val="TableParagraph"/>
              <w:ind w:left="289" w:right="284"/>
              <w:rPr>
                <w:sz w:val="20"/>
              </w:rPr>
            </w:pPr>
            <w:r>
              <w:rPr>
                <w:sz w:val="20"/>
              </w:rPr>
              <w:t>2,9%</w:t>
            </w:r>
          </w:p>
        </w:tc>
        <w:tc>
          <w:tcPr>
            <w:tcW w:w="1198" w:type="dxa"/>
          </w:tcPr>
          <w:p w:rsidR="00300E12" w:rsidRDefault="00F85C8D">
            <w:pPr>
              <w:pStyle w:val="TableParagraph"/>
              <w:ind w:left="290" w:right="288"/>
              <w:rPr>
                <w:sz w:val="20"/>
              </w:rPr>
            </w:pPr>
            <w:r>
              <w:rPr>
                <w:sz w:val="20"/>
              </w:rPr>
              <w:t>4,6%</w:t>
            </w:r>
          </w:p>
        </w:tc>
        <w:tc>
          <w:tcPr>
            <w:tcW w:w="1198" w:type="dxa"/>
          </w:tcPr>
          <w:p w:rsidR="00300E12" w:rsidRDefault="00F85C8D">
            <w:pPr>
              <w:pStyle w:val="TableParagraph"/>
              <w:ind w:left="290" w:right="290"/>
              <w:rPr>
                <w:sz w:val="20"/>
              </w:rPr>
            </w:pPr>
            <w:r>
              <w:rPr>
                <w:sz w:val="20"/>
              </w:rPr>
              <w:t>48,3%</w:t>
            </w:r>
          </w:p>
        </w:tc>
        <w:tc>
          <w:tcPr>
            <w:tcW w:w="1196" w:type="dxa"/>
          </w:tcPr>
          <w:p w:rsidR="00300E12" w:rsidRDefault="00F85C8D">
            <w:pPr>
              <w:pStyle w:val="TableParagraph"/>
              <w:ind w:left="345" w:right="345"/>
              <w:rPr>
                <w:sz w:val="20"/>
              </w:rPr>
            </w:pPr>
            <w:r>
              <w:rPr>
                <w:sz w:val="20"/>
              </w:rPr>
              <w:t>0,6%</w:t>
            </w:r>
          </w:p>
        </w:tc>
        <w:tc>
          <w:tcPr>
            <w:tcW w:w="1199" w:type="dxa"/>
          </w:tcPr>
          <w:p w:rsidR="00300E12" w:rsidRDefault="00F85C8D">
            <w:pPr>
              <w:pStyle w:val="TableParagraph"/>
              <w:ind w:left="189" w:right="189"/>
              <w:rPr>
                <w:sz w:val="20"/>
              </w:rPr>
            </w:pPr>
            <w:r>
              <w:rPr>
                <w:sz w:val="20"/>
              </w:rPr>
              <w:t>2,3%</w:t>
            </w:r>
          </w:p>
        </w:tc>
        <w:tc>
          <w:tcPr>
            <w:tcW w:w="1225" w:type="dxa"/>
          </w:tcPr>
          <w:p w:rsidR="00300E12" w:rsidRDefault="00F85C8D">
            <w:pPr>
              <w:pStyle w:val="TableParagraph"/>
              <w:ind w:left="303" w:right="303"/>
              <w:rPr>
                <w:sz w:val="20"/>
              </w:rPr>
            </w:pPr>
            <w:r>
              <w:rPr>
                <w:sz w:val="20"/>
              </w:rPr>
              <w:t>18,6%</w:t>
            </w:r>
          </w:p>
        </w:tc>
      </w:tr>
    </w:tbl>
    <w:p w:rsidR="00300E12" w:rsidRDefault="00F85C8D">
      <w:pPr>
        <w:pStyle w:val="a3"/>
        <w:spacing w:before="120"/>
        <w:ind w:left="322" w:right="324"/>
        <w:jc w:val="both"/>
      </w:pPr>
      <w:r>
        <w:t>Наибольшее количество нарушений выявлено на стационарных объектах по торговле непродовольственными товарами (48,3%) и сферы услуг (22,6%). Наименьшее значение связано с реализацией подакцизных товаров (спиртные напитки и табачные изделия) – 0,6%, что связа</w:t>
      </w:r>
      <w:r>
        <w:t>но с большим контролем и ответственностью за подобные нарушения со стороны контрольно-надзорных органов.</w:t>
      </w:r>
    </w:p>
    <w:p w:rsidR="00300E12" w:rsidRDefault="00300E12">
      <w:pPr>
        <w:jc w:val="both"/>
        <w:sectPr w:rsidR="00300E12">
          <w:pgSz w:w="11910" w:h="16840"/>
          <w:pgMar w:top="760" w:right="520" w:bottom="640" w:left="1380" w:header="0" w:footer="455" w:gutter="0"/>
          <w:cols w:space="720"/>
        </w:sectPr>
      </w:pPr>
    </w:p>
    <w:p w:rsidR="00300E12" w:rsidRDefault="00F85C8D">
      <w:pPr>
        <w:pStyle w:val="2"/>
        <w:jc w:val="left"/>
      </w:pPr>
      <w:r>
        <w:lastRenderedPageBreak/>
        <w:t>Выводы:</w:t>
      </w:r>
    </w:p>
    <w:p w:rsidR="00300E12" w:rsidRDefault="00F85C8D">
      <w:pPr>
        <w:pStyle w:val="a3"/>
        <w:spacing w:before="119"/>
        <w:ind w:left="322" w:right="324"/>
        <w:jc w:val="both"/>
      </w:pPr>
      <w:r>
        <w:rPr>
          <w:color w:val="212121"/>
        </w:rPr>
        <w:t xml:space="preserve">По итогам исследования можем констатировать, что </w:t>
      </w:r>
      <w:r>
        <w:t xml:space="preserve">около </w:t>
      </w:r>
      <w:r>
        <w:rPr>
          <w:b/>
        </w:rPr>
        <w:t xml:space="preserve">28,4% </w:t>
      </w:r>
      <w:r>
        <w:t>субъектов МСП недобросовестно относится к исполнению действующег</w:t>
      </w:r>
      <w:r>
        <w:t xml:space="preserve">о законодательства РФ, допуская нарушения, такие, как безналичный прием денежных средств на личные карты ФЛ в качестве оплаты за товары и услуги, неиспользование системы торгового </w:t>
      </w:r>
      <w:proofErr w:type="spellStart"/>
      <w:r>
        <w:t>эквайринга</w:t>
      </w:r>
      <w:proofErr w:type="spellEnd"/>
      <w:r>
        <w:t xml:space="preserve"> и онлайн-кассы, не выдача чеков за приобретение товаров и услуг. </w:t>
      </w:r>
      <w:r>
        <w:t xml:space="preserve">В тоже время около </w:t>
      </w:r>
      <w:r>
        <w:rPr>
          <w:b/>
        </w:rPr>
        <w:t xml:space="preserve">72,3% </w:t>
      </w:r>
      <w:r>
        <w:t>стационарных объектов торговли и сферы услуг исполняют все требования действующего законодательства РФ, в части регулирования наличного и безналичного оборота денежных средств.</w:t>
      </w:r>
    </w:p>
    <w:p w:rsidR="00300E12" w:rsidRDefault="00F85C8D">
      <w:pPr>
        <w:pStyle w:val="a3"/>
        <w:spacing w:before="120"/>
        <w:ind w:left="322" w:right="322"/>
        <w:jc w:val="both"/>
      </w:pPr>
      <w:r>
        <w:t>В рамках исследования всем субъектам МСП выданы соотве</w:t>
      </w:r>
      <w:r>
        <w:t>тствующие разъяснительные информационные письма или отличительные графические наклейки.</w:t>
      </w:r>
    </w:p>
    <w:p w:rsidR="00300E12" w:rsidRDefault="00F85C8D">
      <w:pPr>
        <w:pStyle w:val="a3"/>
        <w:spacing w:before="121"/>
        <w:ind w:left="322" w:right="324"/>
        <w:jc w:val="both"/>
      </w:pPr>
      <w:r>
        <w:t>По итогам исследования выявлены основные нарушения действующего законодательства Российской</w:t>
      </w:r>
      <w:r>
        <w:rPr>
          <w:spacing w:val="-4"/>
        </w:rPr>
        <w:t xml:space="preserve"> </w:t>
      </w:r>
      <w:r>
        <w:t>Федерации:</w:t>
      </w:r>
    </w:p>
    <w:p w:rsidR="00300E12" w:rsidRDefault="00F85C8D">
      <w:pPr>
        <w:pStyle w:val="a4"/>
        <w:numPr>
          <w:ilvl w:val="0"/>
          <w:numId w:val="1"/>
        </w:numPr>
        <w:tabs>
          <w:tab w:val="left" w:pos="682"/>
        </w:tabs>
        <w:spacing w:before="60"/>
        <w:ind w:left="681" w:right="326"/>
      </w:pPr>
      <w:r>
        <w:t xml:space="preserve">Отсутствие контрольно-кассовой техники, онлайн-кассы и торгового </w:t>
      </w:r>
      <w:proofErr w:type="spellStart"/>
      <w:r>
        <w:t>эквайринга</w:t>
      </w:r>
      <w:proofErr w:type="spellEnd"/>
      <w:r>
        <w:t xml:space="preserve"> с использованием приема оплаты на карту ФЛ –</w:t>
      </w:r>
      <w:r>
        <w:rPr>
          <w:spacing w:val="-6"/>
        </w:rPr>
        <w:t xml:space="preserve"> </w:t>
      </w:r>
      <w:r>
        <w:rPr>
          <w:b/>
        </w:rPr>
        <w:t>15,2%</w:t>
      </w:r>
      <w:r>
        <w:t>;</w:t>
      </w:r>
    </w:p>
    <w:p w:rsidR="00300E12" w:rsidRDefault="00F85C8D">
      <w:pPr>
        <w:pStyle w:val="a4"/>
        <w:numPr>
          <w:ilvl w:val="0"/>
          <w:numId w:val="1"/>
        </w:numPr>
        <w:tabs>
          <w:tab w:val="left" w:pos="682"/>
        </w:tabs>
        <w:spacing w:before="60"/>
        <w:ind w:left="681" w:right="325"/>
        <w:rPr>
          <w:b/>
        </w:rPr>
      </w:pPr>
      <w:proofErr w:type="gramStart"/>
      <w:r>
        <w:t xml:space="preserve">Прием платежей за товары или услуги на карту физического лица, связанные с отсутствием торгового </w:t>
      </w:r>
      <w:proofErr w:type="spellStart"/>
      <w:r>
        <w:t>эквайринга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rPr>
          <w:b/>
        </w:rPr>
        <w:t>8,9%;</w:t>
      </w:r>
      <w:proofErr w:type="gramEnd"/>
    </w:p>
    <w:p w:rsidR="00300E12" w:rsidRDefault="00F85C8D">
      <w:pPr>
        <w:pStyle w:val="a4"/>
        <w:numPr>
          <w:ilvl w:val="0"/>
          <w:numId w:val="1"/>
        </w:numPr>
        <w:tabs>
          <w:tab w:val="left" w:pos="682"/>
        </w:tabs>
        <w:spacing w:before="62"/>
        <w:ind w:left="681" w:right="325"/>
      </w:pPr>
      <w:r>
        <w:t>Неиспользова</w:t>
      </w:r>
      <w:r>
        <w:t xml:space="preserve">ние контрольно-кассовой техники, онлайн-кассы, </w:t>
      </w:r>
      <w:proofErr w:type="gramStart"/>
      <w:r>
        <w:t>торгового</w:t>
      </w:r>
      <w:proofErr w:type="gramEnd"/>
      <w:r>
        <w:t xml:space="preserve"> </w:t>
      </w:r>
      <w:proofErr w:type="spellStart"/>
      <w:r>
        <w:t>эквайринга</w:t>
      </w:r>
      <w:proofErr w:type="spellEnd"/>
      <w:r>
        <w:t xml:space="preserve"> с одновременным приемом оплаты на карту ФЛ –</w:t>
      </w:r>
      <w:r>
        <w:rPr>
          <w:spacing w:val="-9"/>
        </w:rPr>
        <w:t xml:space="preserve"> </w:t>
      </w:r>
      <w:r>
        <w:rPr>
          <w:b/>
        </w:rPr>
        <w:t>9,2%</w:t>
      </w:r>
      <w:r>
        <w:t>;</w:t>
      </w:r>
    </w:p>
    <w:p w:rsidR="00300E12" w:rsidRDefault="00F85C8D">
      <w:pPr>
        <w:pStyle w:val="a4"/>
        <w:numPr>
          <w:ilvl w:val="0"/>
          <w:numId w:val="1"/>
        </w:numPr>
        <w:tabs>
          <w:tab w:val="left" w:pos="682"/>
        </w:tabs>
        <w:spacing w:before="58"/>
      </w:pPr>
      <w:r>
        <w:t>Не предоставление контрольно-кассового чека покупателю товаров или услуг –</w:t>
      </w:r>
      <w:r>
        <w:rPr>
          <w:spacing w:val="-19"/>
        </w:rPr>
        <w:t xml:space="preserve"> </w:t>
      </w:r>
      <w:r>
        <w:rPr>
          <w:b/>
        </w:rPr>
        <w:t>4,0%</w:t>
      </w:r>
      <w:r>
        <w:t>.</w:t>
      </w:r>
    </w:p>
    <w:p w:rsidR="00300E12" w:rsidRDefault="00F85C8D">
      <w:pPr>
        <w:pStyle w:val="a3"/>
        <w:spacing w:before="121"/>
        <w:ind w:left="322" w:right="322"/>
        <w:jc w:val="both"/>
      </w:pPr>
      <w:proofErr w:type="gramStart"/>
      <w:r>
        <w:rPr>
          <w:color w:val="212121"/>
        </w:rPr>
        <w:t>По нашему мнению, нужно не только разрабатывать доступны</w:t>
      </w:r>
      <w:r>
        <w:rPr>
          <w:color w:val="212121"/>
        </w:rPr>
        <w:t xml:space="preserve">е механизмы развития предпринимательского потенциала в регионе в общем, но и продвижение и популяризацию применения ККМ и торгового </w:t>
      </w:r>
      <w:proofErr w:type="spellStart"/>
      <w:r>
        <w:rPr>
          <w:color w:val="212121"/>
        </w:rPr>
        <w:t>эквайринга</w:t>
      </w:r>
      <w:proofErr w:type="spellEnd"/>
      <w:r>
        <w:rPr>
          <w:color w:val="212121"/>
        </w:rPr>
        <w:t xml:space="preserve"> в частности, максимально активно их позиционировать предпринимателям, рассказывать о существующих мерах поддержки</w:t>
      </w:r>
      <w:r>
        <w:rPr>
          <w:color w:val="212121"/>
        </w:rPr>
        <w:t xml:space="preserve"> начинающего и действующего бизнеса, о существующих льготах, об условиях и способах их получения, тем самым пропагандировать среди предпринимательского сообщества стремление к соблюдению</w:t>
      </w:r>
      <w:proofErr w:type="gramEnd"/>
      <w:r>
        <w:rPr>
          <w:color w:val="212121"/>
        </w:rPr>
        <w:t xml:space="preserve"> действующего законодательства РФ, а также проводить разъяснительную р</w:t>
      </w:r>
      <w:r>
        <w:rPr>
          <w:color w:val="212121"/>
        </w:rPr>
        <w:t>аботу по мерам ответственности за нарушение действующих положений и правил при выявлении вышеуказанных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нарушений.</w:t>
      </w:r>
    </w:p>
    <w:p w:rsidR="00300E12" w:rsidRDefault="00300E12">
      <w:pPr>
        <w:jc w:val="both"/>
        <w:sectPr w:rsidR="00300E12">
          <w:pgSz w:w="11910" w:h="16840"/>
          <w:pgMar w:top="760" w:right="520" w:bottom="640" w:left="1380" w:header="0" w:footer="455" w:gutter="0"/>
          <w:cols w:space="720"/>
        </w:sectPr>
      </w:pPr>
    </w:p>
    <w:p w:rsidR="00300E12" w:rsidRDefault="00F85C8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2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507807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507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0E12">
      <w:footerReference w:type="default" r:id="rId11"/>
      <w:pgSz w:w="31660" w:h="23750" w:orient="landscape"/>
      <w:pgMar w:top="2280" w:right="4640" w:bottom="280" w:left="4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C8D" w:rsidRDefault="00F85C8D">
      <w:r>
        <w:separator/>
      </w:r>
    </w:p>
  </w:endnote>
  <w:endnote w:type="continuationSeparator" w:id="0">
    <w:p w:rsidR="00F85C8D" w:rsidRDefault="00F8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E12" w:rsidRDefault="00F85C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65pt;margin-top:808.2pt;width:39.25pt;height:15.45pt;z-index:-251658752;mso-position-horizontal-relative:page;mso-position-vertical-relative:page" filled="f" stroked="f">
          <v:textbox inset="0,0,0,0">
            <w:txbxContent>
              <w:p w:rsidR="00300E12" w:rsidRDefault="00F85C8D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D9D9D9"/>
                    <w:sz w:val="24"/>
                  </w:rPr>
                  <w:t xml:space="preserve">Стр. </w:t>
                </w:r>
                <w:r>
                  <w:fldChar w:fldCharType="begin"/>
                </w:r>
                <w:r>
                  <w:rPr>
                    <w:b/>
                    <w:color w:val="D9D9D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401B0">
                  <w:rPr>
                    <w:b/>
                    <w:noProof/>
                    <w:color w:val="D9D9D9"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E12" w:rsidRDefault="00300E1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C8D" w:rsidRDefault="00F85C8D">
      <w:r>
        <w:separator/>
      </w:r>
    </w:p>
  </w:footnote>
  <w:footnote w:type="continuationSeparator" w:id="0">
    <w:p w:rsidR="00F85C8D" w:rsidRDefault="00F85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D16C1"/>
    <w:multiLevelType w:val="hybridMultilevel"/>
    <w:tmpl w:val="62F0FF24"/>
    <w:lvl w:ilvl="0" w:tplc="A71678D6">
      <w:start w:val="1"/>
      <w:numFmt w:val="decimal"/>
      <w:lvlText w:val="%1."/>
      <w:lvlJc w:val="left"/>
      <w:pPr>
        <w:ind w:left="682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ru-RU" w:eastAsia="en-US" w:bidi="ar-SA"/>
      </w:rPr>
    </w:lvl>
    <w:lvl w:ilvl="1" w:tplc="3F4A51D4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8DD6CDC0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F39C2F5A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1C623D9A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A6627DC0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D2B068DA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D0F4C72E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 w:tplc="D39A76CA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1">
    <w:nsid w:val="5B424DD5"/>
    <w:multiLevelType w:val="hybridMultilevel"/>
    <w:tmpl w:val="498E6480"/>
    <w:lvl w:ilvl="0" w:tplc="E28001B4">
      <w:numFmt w:val="bullet"/>
      <w:lvlText w:val="-"/>
      <w:lvlJc w:val="left"/>
      <w:pPr>
        <w:ind w:left="682" w:hanging="360"/>
      </w:pPr>
      <w:rPr>
        <w:rFonts w:ascii="Arial" w:eastAsia="Arial" w:hAnsi="Arial" w:cs="Arial" w:hint="default"/>
        <w:w w:val="100"/>
        <w:sz w:val="22"/>
        <w:szCs w:val="22"/>
        <w:lang w:val="ru-RU" w:eastAsia="en-US" w:bidi="ar-SA"/>
      </w:rPr>
    </w:lvl>
    <w:lvl w:ilvl="1" w:tplc="A1A4B6AC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93582714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73D04DBE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ED4404CE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AA7C0150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95FA10DC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3E942D30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 w:tplc="F62A5C64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2">
    <w:nsid w:val="640D226E"/>
    <w:multiLevelType w:val="hybridMultilevel"/>
    <w:tmpl w:val="FBCEDC16"/>
    <w:lvl w:ilvl="0" w:tplc="C6BEFBDA">
      <w:start w:val="1"/>
      <w:numFmt w:val="decimal"/>
      <w:lvlText w:val="%1."/>
      <w:lvlJc w:val="left"/>
      <w:pPr>
        <w:ind w:left="679" w:hanging="35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5B42D14">
      <w:numFmt w:val="bullet"/>
      <w:lvlText w:val="•"/>
      <w:lvlJc w:val="left"/>
      <w:pPr>
        <w:ind w:left="1612" w:hanging="358"/>
      </w:pPr>
      <w:rPr>
        <w:rFonts w:hint="default"/>
        <w:lang w:val="ru-RU" w:eastAsia="en-US" w:bidi="ar-SA"/>
      </w:rPr>
    </w:lvl>
    <w:lvl w:ilvl="2" w:tplc="D6121EE8">
      <w:numFmt w:val="bullet"/>
      <w:lvlText w:val="•"/>
      <w:lvlJc w:val="left"/>
      <w:pPr>
        <w:ind w:left="2545" w:hanging="358"/>
      </w:pPr>
      <w:rPr>
        <w:rFonts w:hint="default"/>
        <w:lang w:val="ru-RU" w:eastAsia="en-US" w:bidi="ar-SA"/>
      </w:rPr>
    </w:lvl>
    <w:lvl w:ilvl="3" w:tplc="21645054">
      <w:numFmt w:val="bullet"/>
      <w:lvlText w:val="•"/>
      <w:lvlJc w:val="left"/>
      <w:pPr>
        <w:ind w:left="3477" w:hanging="358"/>
      </w:pPr>
      <w:rPr>
        <w:rFonts w:hint="default"/>
        <w:lang w:val="ru-RU" w:eastAsia="en-US" w:bidi="ar-SA"/>
      </w:rPr>
    </w:lvl>
    <w:lvl w:ilvl="4" w:tplc="0BDA1A86">
      <w:numFmt w:val="bullet"/>
      <w:lvlText w:val="•"/>
      <w:lvlJc w:val="left"/>
      <w:pPr>
        <w:ind w:left="4410" w:hanging="358"/>
      </w:pPr>
      <w:rPr>
        <w:rFonts w:hint="default"/>
        <w:lang w:val="ru-RU" w:eastAsia="en-US" w:bidi="ar-SA"/>
      </w:rPr>
    </w:lvl>
    <w:lvl w:ilvl="5" w:tplc="DE2CCBD0">
      <w:numFmt w:val="bullet"/>
      <w:lvlText w:val="•"/>
      <w:lvlJc w:val="left"/>
      <w:pPr>
        <w:ind w:left="5343" w:hanging="358"/>
      </w:pPr>
      <w:rPr>
        <w:rFonts w:hint="default"/>
        <w:lang w:val="ru-RU" w:eastAsia="en-US" w:bidi="ar-SA"/>
      </w:rPr>
    </w:lvl>
    <w:lvl w:ilvl="6" w:tplc="6C428306">
      <w:numFmt w:val="bullet"/>
      <w:lvlText w:val="•"/>
      <w:lvlJc w:val="left"/>
      <w:pPr>
        <w:ind w:left="6275" w:hanging="358"/>
      </w:pPr>
      <w:rPr>
        <w:rFonts w:hint="default"/>
        <w:lang w:val="ru-RU" w:eastAsia="en-US" w:bidi="ar-SA"/>
      </w:rPr>
    </w:lvl>
    <w:lvl w:ilvl="7" w:tplc="F61ACCAC">
      <w:numFmt w:val="bullet"/>
      <w:lvlText w:val="•"/>
      <w:lvlJc w:val="left"/>
      <w:pPr>
        <w:ind w:left="7208" w:hanging="358"/>
      </w:pPr>
      <w:rPr>
        <w:rFonts w:hint="default"/>
        <w:lang w:val="ru-RU" w:eastAsia="en-US" w:bidi="ar-SA"/>
      </w:rPr>
    </w:lvl>
    <w:lvl w:ilvl="8" w:tplc="69844F54">
      <w:numFmt w:val="bullet"/>
      <w:lvlText w:val="•"/>
      <w:lvlJc w:val="left"/>
      <w:pPr>
        <w:ind w:left="8141" w:hanging="358"/>
      </w:pPr>
      <w:rPr>
        <w:rFonts w:hint="default"/>
        <w:lang w:val="ru-RU" w:eastAsia="en-US" w:bidi="ar-SA"/>
      </w:rPr>
    </w:lvl>
  </w:abstractNum>
  <w:abstractNum w:abstractNumId="3">
    <w:nsid w:val="6E9A54D0"/>
    <w:multiLevelType w:val="multilevel"/>
    <w:tmpl w:val="63D692E0"/>
    <w:lvl w:ilvl="0">
      <w:start w:val="1"/>
      <w:numFmt w:val="decimal"/>
      <w:lvlText w:val="%1."/>
      <w:lvlJc w:val="left"/>
      <w:pPr>
        <w:ind w:left="682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708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00E12"/>
    <w:rsid w:val="00300E12"/>
    <w:rsid w:val="003401B0"/>
    <w:rsid w:val="00F8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200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3"/>
      <w:ind w:left="322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19"/>
      <w:ind w:left="68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1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401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1B0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2445</Words>
  <Characters>13938</Characters>
  <Application>Microsoft Office Word</Application>
  <DocSecurity>0</DocSecurity>
  <Lines>116</Lines>
  <Paragraphs>32</Paragraphs>
  <ScaleCrop>false</ScaleCrop>
  <Company/>
  <LinksUpToDate>false</LinksUpToDate>
  <CharactersWithSpaces>16351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2020-06-05T20:01:00Z</dcterms:created>
  <dcterms:modified xsi:type="dcterms:W3CDTF">2020-08-24T14:32:00Z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2020-08-19T00:00:00Z</vt:filetime>
  </property>
  <property fmtid="{D5CDD505-2E9C-101B-9397-08002B2CF9AE}" pid="3" name="LastSaved">
    <vt:filetime>2020-06-05T00:00:00Z</vt:filetime>
  </property>
</Properties>
</file>