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10" w:rsidRPr="00276F4B" w:rsidRDefault="00B43281" w:rsidP="00B43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4B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 w:rsidR="00D0352F" w:rsidRPr="00276F4B">
        <w:rPr>
          <w:rFonts w:ascii="Times New Roman" w:hAnsi="Times New Roman" w:cs="Times New Roman"/>
          <w:b/>
          <w:sz w:val="28"/>
          <w:szCs w:val="28"/>
        </w:rPr>
        <w:t xml:space="preserve"> и (или) требований, установленных муниципальными правовыми актами,</w:t>
      </w:r>
    </w:p>
    <w:p w:rsidR="00D0352F" w:rsidRPr="00276F4B" w:rsidRDefault="00D0352F" w:rsidP="00B43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B9" w:rsidRPr="00276F4B" w:rsidRDefault="002D7FB9" w:rsidP="002D7FB9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 Комитет по управлению имуществом города Ржева Тверской области, являющийся самостоятельным функциональным структурным подразделением Администрации города Ржева (далее – Комитет) в лице уполномоченных сотрудников Комитета (далее – уполномоченные лица).</w:t>
      </w:r>
    </w:p>
    <w:p w:rsidR="002D7FB9" w:rsidRPr="00276F4B" w:rsidRDefault="002D7FB9" w:rsidP="002D7FB9">
      <w:pPr>
        <w:pStyle w:val="ConsPlusNormal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Организации и граждане признаются контролируемыми лицами в соответствии с настоящим Положением, если объекты, находящиеся в их владении, пользовании, управлении являются объектами контроля, предусмотренными</w:t>
      </w:r>
      <w:r w:rsidRPr="00276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6F4B">
        <w:rPr>
          <w:rFonts w:ascii="Times New Roman" w:hAnsi="Times New Roman" w:cs="Times New Roman"/>
          <w:sz w:val="28"/>
          <w:szCs w:val="28"/>
        </w:rPr>
        <w:t>п. 8</w:t>
      </w:r>
      <w:r w:rsidRPr="00276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6F4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D7FB9" w:rsidRPr="00276F4B" w:rsidRDefault="002D7FB9" w:rsidP="002D7F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76F4B">
        <w:rPr>
          <w:rFonts w:ascii="Times New Roman" w:hAnsi="Times New Roman" w:cs="Times New Roman"/>
          <w:sz w:val="28"/>
          <w:szCs w:val="28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2D7FB9" w:rsidRPr="00276F4B" w:rsidRDefault="002D7FB9" w:rsidP="002D7FB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 xml:space="preserve">     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2D7FB9" w:rsidRPr="00276F4B" w:rsidRDefault="002D7FB9" w:rsidP="002D7FB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D7FB9" w:rsidRPr="00276F4B" w:rsidRDefault="002D7FB9" w:rsidP="002D7FB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организациями,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2D7FB9" w:rsidRPr="00276F4B" w:rsidRDefault="002D7FB9" w:rsidP="002D7FB9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4B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 земельных отношений (земли, земельные участки, части земельных участков), расположенные в границах муниципального образования город Ржев, в отношении которых установлены контролируемые лица, осуществляющие владение, пользование, управление объектами земельных отношений (далее</w:t>
      </w:r>
      <w:proofErr w:type="gramEnd"/>
      <w:r w:rsidRPr="00276F4B">
        <w:rPr>
          <w:rFonts w:ascii="Times New Roman" w:hAnsi="Times New Roman" w:cs="Times New Roman"/>
          <w:sz w:val="28"/>
          <w:szCs w:val="28"/>
        </w:rPr>
        <w:t xml:space="preserve"> – производственный объект).</w:t>
      </w:r>
    </w:p>
    <w:p w:rsidR="00B13056" w:rsidRPr="00276F4B" w:rsidRDefault="00B13056" w:rsidP="00B1305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 xml:space="preserve">Решением Ржевской городской Думой от 26.08.2021 г. № 120 утверждено Положение о муниципальном  земельном </w:t>
      </w:r>
      <w:proofErr w:type="gramStart"/>
      <w:r w:rsidRPr="00276F4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76F4B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города Ржева Тверской области в новой редакции.</w:t>
      </w:r>
    </w:p>
    <w:p w:rsidR="00B13056" w:rsidRPr="00276F4B" w:rsidRDefault="00B13056" w:rsidP="00E8044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76F4B">
        <w:rPr>
          <w:rFonts w:ascii="Times New Roman" w:hAnsi="Times New Roman" w:cs="Times New Roman"/>
          <w:sz w:val="28"/>
          <w:szCs w:val="28"/>
        </w:rPr>
        <w:t xml:space="preserve"> настоящего Положения, система оценки и управления рисками при осуществлении муниципального земельного контроля на территории муниципального округа Ржев не применяется,  в связи с этим согласно п.27 раздела </w:t>
      </w:r>
      <w:r w:rsidRPr="00276F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76F4B">
        <w:rPr>
          <w:rFonts w:ascii="Times New Roman" w:hAnsi="Times New Roman" w:cs="Times New Roman"/>
          <w:sz w:val="28"/>
          <w:szCs w:val="28"/>
        </w:rPr>
        <w:t xml:space="preserve"> Положения, плановые контрольные мероприятия в </w:t>
      </w:r>
      <w:r w:rsidRPr="00276F4B">
        <w:rPr>
          <w:rFonts w:ascii="Times New Roman" w:hAnsi="Times New Roman" w:cs="Times New Roman"/>
          <w:sz w:val="28"/>
          <w:szCs w:val="28"/>
        </w:rPr>
        <w:lastRenderedPageBreak/>
        <w:t>рамках осуществления муниципального земельного контроля Комитетом не проводятся. Размещение плана контрольных (надзорных) мероприятий в Едином реестре контрольных (надзорных) мероприятий не предусмотрено.</w:t>
      </w:r>
    </w:p>
    <w:p w:rsidR="00497E10" w:rsidRPr="00276F4B" w:rsidRDefault="00497E10" w:rsidP="00E8044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4B">
        <w:rPr>
          <w:rFonts w:ascii="Times New Roman" w:hAnsi="Times New Roman" w:cs="Times New Roman"/>
          <w:sz w:val="28"/>
          <w:szCs w:val="28"/>
        </w:rPr>
        <w:t xml:space="preserve">Согласно п. 3 ст. 66 Федерального Закона от 31 июля 2020 года № 248-ФЗ «О государственном контроле (надзоре) и муниципальном контроле в Российской Федерации» в случае, если положением о виде муниципального контроля в соответствии с </w:t>
      </w:r>
      <w:hyperlink w:anchor="P360" w:history="1">
        <w:r w:rsidRPr="00276F4B">
          <w:rPr>
            <w:rFonts w:ascii="Times New Roman" w:hAnsi="Times New Roman" w:cs="Times New Roman"/>
            <w:sz w:val="28"/>
            <w:szCs w:val="28"/>
          </w:rPr>
          <w:t>частью 7 статьи 22</w:t>
        </w:r>
      </w:hyperlink>
      <w:r w:rsidRPr="00276F4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</w:t>
      </w:r>
      <w:proofErr w:type="gramEnd"/>
      <w:r w:rsidRPr="00276F4B">
        <w:rPr>
          <w:rFonts w:ascii="Times New Roman" w:hAnsi="Times New Roman" w:cs="Times New Roman"/>
          <w:sz w:val="28"/>
          <w:szCs w:val="28"/>
        </w:rPr>
        <w:t>) мероприятия могут проводиться только после согласования с органами прокуратуры.</w:t>
      </w:r>
    </w:p>
    <w:p w:rsidR="00497E10" w:rsidRPr="00276F4B" w:rsidRDefault="00497E10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Согласно ст. 57 Федерального Закона от 31 июля 2020 года № 248-ФЗ «О государственном контроле (надзоре) и муниципальном контроле в Российской Федерации» основанием для проведения контрольных (надзорных) мероприятий может быть:</w:t>
      </w:r>
    </w:p>
    <w:p w:rsidR="00497E10" w:rsidRPr="00276F4B" w:rsidRDefault="00497E10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3"/>
      <w:bookmarkEnd w:id="0"/>
      <w:r w:rsidRPr="00276F4B">
        <w:rPr>
          <w:rFonts w:ascii="Times New Roman" w:hAnsi="Times New Roman" w:cs="Times New Roman"/>
          <w:sz w:val="28"/>
          <w:szCs w:val="28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</w:t>
      </w:r>
      <w:r w:rsidR="00E8044D" w:rsidRPr="00276F4B">
        <w:rPr>
          <w:rFonts w:ascii="Times New Roman" w:hAnsi="Times New Roman" w:cs="Times New Roman"/>
          <w:sz w:val="28"/>
          <w:szCs w:val="28"/>
        </w:rPr>
        <w:t>та контроля от таких параметров.</w:t>
      </w:r>
    </w:p>
    <w:p w:rsidR="00E8044D" w:rsidRPr="00AB4367" w:rsidRDefault="00E8044D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67">
        <w:rPr>
          <w:rFonts w:ascii="Times New Roman" w:hAnsi="Times New Roman" w:cs="Times New Roman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использует перечень индикаторов риска нарушения обязательных требований;</w:t>
      </w:r>
    </w:p>
    <w:p w:rsidR="00497E10" w:rsidRPr="00276F4B" w:rsidRDefault="00497E10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497E10" w:rsidRPr="00276F4B" w:rsidRDefault="00497E10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5"/>
      <w:bookmarkEnd w:id="1"/>
      <w:r w:rsidRPr="00276F4B">
        <w:rPr>
          <w:rFonts w:ascii="Times New Roman" w:hAnsi="Times New Roman" w:cs="Times New Roman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497E10" w:rsidRPr="00276F4B" w:rsidRDefault="00497E10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97E10" w:rsidRPr="00276F4B" w:rsidRDefault="00497E10" w:rsidP="00497E10">
      <w:pPr>
        <w:pStyle w:val="ConsPlusNormal"/>
        <w:ind w:left="-567"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4B">
        <w:rPr>
          <w:rFonts w:ascii="Times New Roman" w:hAnsi="Times New Roman" w:cs="Times New Roman"/>
          <w:sz w:val="28"/>
          <w:szCs w:val="28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1400" w:history="1">
        <w:r w:rsidRPr="00276F4B">
          <w:rPr>
            <w:rFonts w:ascii="Times New Roman" w:hAnsi="Times New Roman" w:cs="Times New Roman"/>
            <w:sz w:val="28"/>
            <w:szCs w:val="28"/>
          </w:rPr>
          <w:t>частью 1 статьи 95</w:t>
        </w:r>
      </w:hyperlink>
      <w:r w:rsidRPr="00276F4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497E10" w:rsidRPr="00276F4B" w:rsidRDefault="00497E10" w:rsidP="00497E10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8"/>
      <w:bookmarkEnd w:id="2"/>
      <w:r w:rsidRPr="00276F4B">
        <w:rPr>
          <w:rFonts w:ascii="Times New Roman" w:hAnsi="Times New Roman" w:cs="Times New Roman"/>
          <w:sz w:val="28"/>
          <w:szCs w:val="28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D0352F" w:rsidRPr="00276F4B" w:rsidRDefault="00A3101D" w:rsidP="00A12D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52F"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</w:t>
      </w:r>
      <w:r w:rsidR="00D0352F" w:rsidRPr="00276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12DDF" w:rsidRPr="00276F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направлена на предупреждение возможного нарушения подконтрольными субъектами обязательных требований и снижение рисков причинения ущерба охраняемым законом ценностям, разъяснение </w:t>
      </w:r>
      <w:r w:rsidR="00A12DDF" w:rsidRPr="00276F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подконтрольным субъектам обязательных требований земельного законодательства в отношении объектов земельных отношений</w:t>
      </w:r>
      <w:r w:rsidR="00D0352F" w:rsidRPr="00276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352F" w:rsidRPr="00276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D0352F" w:rsidRPr="00276F4B" w:rsidRDefault="00D0352F" w:rsidP="00A12D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</w:t>
      </w:r>
    </w:p>
    <w:p w:rsidR="00D0352F" w:rsidRPr="00276F4B" w:rsidRDefault="00A3101D" w:rsidP="00A12DDF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52F"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в рамках осуществления муниципального земельного контроля проводит следующие профилактические мероприятия:</w:t>
      </w:r>
    </w:p>
    <w:p w:rsidR="00D0352F" w:rsidRPr="00276F4B" w:rsidRDefault="00D0352F" w:rsidP="00A12DDF">
      <w:pPr>
        <w:spacing w:after="0" w:line="240" w:lineRule="auto"/>
        <w:ind w:left="-142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информирование;</w:t>
      </w:r>
    </w:p>
    <w:p w:rsidR="00D0352F" w:rsidRPr="00276F4B" w:rsidRDefault="00D0352F" w:rsidP="00A12DDF">
      <w:pPr>
        <w:spacing w:after="0" w:line="240" w:lineRule="auto"/>
        <w:ind w:left="-142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объявление предостережения;</w:t>
      </w:r>
    </w:p>
    <w:p w:rsidR="00D0402B" w:rsidRPr="00276F4B" w:rsidRDefault="00D0352F" w:rsidP="00D0402B">
      <w:pPr>
        <w:spacing w:after="0" w:line="240" w:lineRule="auto"/>
        <w:ind w:left="-142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консультирование;</w:t>
      </w:r>
    </w:p>
    <w:p w:rsidR="00D0352F" w:rsidRPr="00276F4B" w:rsidRDefault="00D0352F" w:rsidP="00D0402B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земельного контроля взаимодействие инспектора контрольного органа с контролируемым лицом осуществляется при проведении следующих контрольных мероприятий: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инспекционный визит;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рейдовый осмотр;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документарная проверка;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выездная проверка.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Без взаимодействия с контролируемым лицом осуществляются следующие контрольные мероприятия: 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наблюдение за соблюдением обязательных требований;</w:t>
      </w:r>
    </w:p>
    <w:p w:rsidR="00D0352F" w:rsidRPr="00276F4B" w:rsidRDefault="00D0352F" w:rsidP="00D0402B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выездное обследование.</w:t>
      </w:r>
    </w:p>
    <w:p w:rsidR="00D0352F" w:rsidRPr="00276F4B" w:rsidRDefault="00A3101D" w:rsidP="00D040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52F"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контрольного мероприятия составляется акт контрольного мероприятия (далее также – акт). В случае</w:t>
      </w:r>
      <w:proofErr w:type="gramStart"/>
      <w:r w:rsidR="00D0352F"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0352F"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A3101D" w:rsidRPr="00276F4B" w:rsidRDefault="00A3101D" w:rsidP="00D040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352F" w:rsidRPr="002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проведения проверки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копия акта направляется в орган государственного земельного надзора.</w:t>
      </w:r>
    </w:p>
    <w:p w:rsidR="00D0352F" w:rsidRPr="00276F4B" w:rsidRDefault="00A3101D" w:rsidP="00D04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6F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E66BE8" w:rsidRDefault="00E66BE8" w:rsidP="0094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085DAB" w:rsidRDefault="00945D5B" w:rsidP="0094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Соблюдение обязательных требований,</w:t>
      </w:r>
      <w:r w:rsidR="0008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предусмотренных законодательством Российской Федерации</w:t>
      </w:r>
    </w:p>
    <w:p w:rsidR="00085DAB" w:rsidRDefault="00085DAB" w:rsidP="00945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73" w:type="dxa"/>
        <w:tblInd w:w="-1139" w:type="dxa"/>
        <w:tblLook w:val="04A0"/>
      </w:tblPr>
      <w:tblGrid>
        <w:gridCol w:w="503"/>
        <w:gridCol w:w="2602"/>
        <w:gridCol w:w="1950"/>
        <w:gridCol w:w="5718"/>
      </w:tblGrid>
      <w:tr w:rsidR="00407138" w:rsidRPr="00407138" w:rsidTr="002E5F91">
        <w:tc>
          <w:tcPr>
            <w:tcW w:w="503" w:type="dxa"/>
          </w:tcPr>
          <w:p w:rsidR="00407138" w:rsidRPr="00407138" w:rsidRDefault="00407138" w:rsidP="00407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02" w:type="dxa"/>
          </w:tcPr>
          <w:p w:rsidR="00407138" w:rsidRPr="00407138" w:rsidRDefault="00407138" w:rsidP="00407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нормативного правового акта </w:t>
            </w:r>
          </w:p>
        </w:tc>
        <w:tc>
          <w:tcPr>
            <w:tcW w:w="1950" w:type="dxa"/>
          </w:tcPr>
          <w:p w:rsidR="00407138" w:rsidRPr="00407138" w:rsidRDefault="00407138" w:rsidP="00407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Структурные единицы нормативного правового акта</w:t>
            </w:r>
          </w:p>
        </w:tc>
        <w:tc>
          <w:tcPr>
            <w:tcW w:w="5718" w:type="dxa"/>
          </w:tcPr>
          <w:p w:rsidR="00407138" w:rsidRPr="00407138" w:rsidRDefault="00407138" w:rsidP="00407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 требования, соблюдение которых является предметом муниципального земельного контроля</w:t>
            </w:r>
          </w:p>
        </w:tc>
      </w:tr>
      <w:tr w:rsidR="00636B20" w:rsidTr="002E5F91">
        <w:tc>
          <w:tcPr>
            <w:tcW w:w="503" w:type="dxa"/>
          </w:tcPr>
          <w:p w:rsidR="00636B20" w:rsidRPr="00A40E44" w:rsidRDefault="00F272D1" w:rsidP="0063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636B20" w:rsidRPr="00A40E44" w:rsidRDefault="00636B20" w:rsidP="006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1950" w:type="dxa"/>
          </w:tcPr>
          <w:p w:rsidR="00636B20" w:rsidRPr="00A40E44" w:rsidRDefault="00AB754E" w:rsidP="006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36B20">
              <w:rPr>
                <w:rFonts w:ascii="Times New Roman" w:hAnsi="Times New Roman" w:cs="Times New Roman"/>
                <w:sz w:val="24"/>
                <w:szCs w:val="24"/>
              </w:rPr>
              <w:t>. 1 ст. 25</w:t>
            </w:r>
          </w:p>
        </w:tc>
        <w:tc>
          <w:tcPr>
            <w:tcW w:w="5718" w:type="dxa"/>
          </w:tcPr>
          <w:p w:rsidR="00636B20" w:rsidRPr="00A40E44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земельные участки, предусмотренные </w:t>
            </w:r>
            <w:hyperlink r:id="rId5" w:history="1">
              <w:r w:rsidRPr="00636B20">
                <w:rPr>
                  <w:rFonts w:ascii="Times New Roman" w:hAnsi="Times New Roman" w:cs="Times New Roman"/>
                  <w:sz w:val="24"/>
                  <w:szCs w:val="24"/>
                </w:rPr>
                <w:t>главами III</w:t>
              </w:r>
            </w:hyperlink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636B20">
                <w:rPr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      </w:r>
            <w:hyperlink r:id="rId7" w:history="1">
              <w:r w:rsidRPr="00636B2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государственной регистрации недвижимости".</w:t>
            </w:r>
          </w:p>
        </w:tc>
      </w:tr>
      <w:tr w:rsidR="00636B20" w:rsidTr="002E5F91">
        <w:tc>
          <w:tcPr>
            <w:tcW w:w="503" w:type="dxa"/>
          </w:tcPr>
          <w:p w:rsidR="00636B20" w:rsidRPr="00A40E44" w:rsidRDefault="00F272D1" w:rsidP="00636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636B20" w:rsidRPr="00A40E44" w:rsidRDefault="00636B20" w:rsidP="006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1950" w:type="dxa"/>
          </w:tcPr>
          <w:p w:rsidR="00636B20" w:rsidRPr="00A40E44" w:rsidRDefault="00AB754E" w:rsidP="006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6B20">
              <w:rPr>
                <w:rFonts w:ascii="Times New Roman" w:hAnsi="Times New Roman" w:cs="Times New Roman"/>
                <w:sz w:val="24"/>
                <w:szCs w:val="24"/>
              </w:rPr>
              <w:t xml:space="preserve">т. 42 </w:t>
            </w:r>
          </w:p>
        </w:tc>
        <w:tc>
          <w:tcPr>
            <w:tcW w:w="5718" w:type="dxa"/>
          </w:tcPr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производить платежи за землю;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8" w:history="1">
              <w:r w:rsidRPr="00636B20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аммиакопроводов</w:t>
            </w:r>
            <w:proofErr w:type="spellEnd"/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, по предупреждению чрезвычайных ситуаций, по </w:t>
            </w:r>
            <w:r w:rsidRPr="00636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последствий возникших на них аварий, катастроф;</w:t>
            </w:r>
            <w:proofErr w:type="gramEnd"/>
          </w:p>
          <w:p w:rsidR="00636B20" w:rsidRPr="00636B20" w:rsidRDefault="00636B2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выполнять иные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предусмотренные Земельным</w:t>
            </w: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636B20">
              <w:rPr>
                <w:rFonts w:ascii="Times New Roman" w:hAnsi="Times New Roman" w:cs="Times New Roman"/>
                <w:sz w:val="24"/>
                <w:szCs w:val="24"/>
              </w:rPr>
              <w:t>, федеральными законами.</w:t>
            </w:r>
          </w:p>
        </w:tc>
      </w:tr>
      <w:tr w:rsidR="00AB754E" w:rsidTr="002E5F91">
        <w:tc>
          <w:tcPr>
            <w:tcW w:w="503" w:type="dxa"/>
          </w:tcPr>
          <w:p w:rsidR="00AB754E" w:rsidRPr="00A40E44" w:rsidRDefault="00AB754E" w:rsidP="00AB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2" w:type="dxa"/>
          </w:tcPr>
          <w:p w:rsidR="00AB754E" w:rsidRPr="00A40E44" w:rsidRDefault="00AB754E" w:rsidP="00AB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1950" w:type="dxa"/>
          </w:tcPr>
          <w:p w:rsidR="00AB754E" w:rsidRPr="00A40E44" w:rsidRDefault="00AB754E" w:rsidP="005B3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5B3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72 </w:t>
            </w:r>
          </w:p>
        </w:tc>
        <w:tc>
          <w:tcPr>
            <w:tcW w:w="5718" w:type="dxa"/>
          </w:tcPr>
          <w:p w:rsidR="00AB754E" w:rsidRPr="00A40E44" w:rsidRDefault="005B398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      </w:r>
          </w:p>
        </w:tc>
      </w:tr>
      <w:tr w:rsidR="00AB754E" w:rsidTr="002E5F91">
        <w:tc>
          <w:tcPr>
            <w:tcW w:w="503" w:type="dxa"/>
          </w:tcPr>
          <w:p w:rsidR="00AB754E" w:rsidRPr="00A40E44" w:rsidRDefault="00AB754E" w:rsidP="00DA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AB754E" w:rsidRPr="00A40E44" w:rsidRDefault="006C3CD9" w:rsidP="00DA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950" w:type="dxa"/>
          </w:tcPr>
          <w:p w:rsidR="00AB754E" w:rsidRPr="00A40E44" w:rsidRDefault="006C3CD9" w:rsidP="00F27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ст.7.1, ст. 8.8</w:t>
            </w:r>
          </w:p>
        </w:tc>
        <w:tc>
          <w:tcPr>
            <w:tcW w:w="5718" w:type="dxa"/>
          </w:tcPr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7.1. Самовольное занятие земельного участка</w:t>
            </w:r>
          </w:p>
          <w:p w:rsidR="001F0B3C" w:rsidRPr="00DA5232" w:rsidRDefault="009323E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0B3C" w:rsidRPr="00DA5232">
                <w:rPr>
                  <w:rFonts w:ascii="Times New Roman" w:hAnsi="Times New Roman" w:cs="Times New Roman"/>
                  <w:sz w:val="24"/>
                  <w:szCs w:val="24"/>
                </w:rPr>
                <w:t>Самовольное</w:t>
              </w:r>
            </w:hyperlink>
            <w:r w:rsidR="001F0B3C"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1F0B3C" w:rsidRPr="00DA5232" w:rsidRDefault="00FB71E0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0B3C" w:rsidRPr="00DA5232">
              <w:rPr>
                <w:rFonts w:ascii="Times New Roman" w:hAnsi="Times New Roman" w:cs="Times New Roman"/>
                <w:sz w:val="24"/>
                <w:szCs w:val="24"/>
              </w:rPr>
      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7.34. Использование земельного участка на праве постоянного (бессрочного) пользования юридическим лицом, не выполнившим в </w:t>
            </w:r>
            <w:r w:rsidRPr="00DA52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</w:t>
            </w:r>
            <w:hyperlink r:id="rId10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срок обязанности по переоформлению такого права на право аренды земельного участка или по приобретению этого земельного участка в собственность, -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в размере от двадцати тысяч до ста тысяч рублей.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      </w:r>
            <w:hyperlink r:id="rId11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разрешенным использованием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случаев, предусмотренных </w:t>
            </w:r>
            <w:hyperlink w:anchor="Par10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частями 2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13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16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0"/>
            <w:bookmarkEnd w:id="3"/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2. 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12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2002 года №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      </w:r>
            <w:hyperlink r:id="rId13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случая, предусмотренного </w:t>
            </w:r>
            <w:hyperlink w:anchor="Par13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частью 2.1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-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3"/>
            <w:bookmarkEnd w:id="4"/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2.1. 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14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2002 года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      </w:r>
            <w:hyperlink r:id="rId15" w:history="1">
              <w:r w:rsidRPr="00DA5232">
                <w:rPr>
                  <w:rFonts w:ascii="Times New Roman" w:hAnsi="Times New Roman" w:cs="Times New Roman"/>
                  <w:sz w:val="24"/>
                  <w:szCs w:val="24"/>
                </w:rPr>
                <w:t>пункте 3 статьи 6</w:t>
              </w:r>
            </w:hyperlink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2002 года № 101-ФЗ "Об обороте земель сельскохозяйственного назначения", -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6"/>
            <w:bookmarkEnd w:id="5"/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</w:t>
            </w:r>
            <w:r w:rsidRPr="00DA5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 xml:space="preserve">4. Невыполнение или несвоевременное выполнение обязанностей по приведению земель в состояние, пригодное для использования по целевому назначению, </w:t>
            </w:r>
          </w:p>
          <w:p w:rsidR="001F0B3C" w:rsidRPr="00DA5232" w:rsidRDefault="001F0B3C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32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DA5232" w:rsidRPr="00DA5232" w:rsidRDefault="00DA5232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54E" w:rsidRPr="00DA5232" w:rsidRDefault="00AB754E" w:rsidP="00DA5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4E" w:rsidTr="002E5F91">
        <w:tc>
          <w:tcPr>
            <w:tcW w:w="503" w:type="dxa"/>
          </w:tcPr>
          <w:p w:rsidR="00AB754E" w:rsidRPr="00A40E44" w:rsidRDefault="00AB754E" w:rsidP="00AB7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2" w:type="dxa"/>
          </w:tcPr>
          <w:p w:rsidR="00AB754E" w:rsidRPr="00A40E44" w:rsidRDefault="00D944B9" w:rsidP="00AB7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950" w:type="dxa"/>
          </w:tcPr>
          <w:p w:rsidR="00AB754E" w:rsidRPr="00A40E44" w:rsidRDefault="00D944B9" w:rsidP="002A4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19.4,            ст. 19.4.1, ч. 1          ст. 19.5</w:t>
            </w:r>
          </w:p>
        </w:tc>
        <w:tc>
          <w:tcPr>
            <w:tcW w:w="5718" w:type="dxa"/>
          </w:tcPr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"/>
            <w:bookmarkEnd w:id="6"/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1. Воспрепятствование законной деятельности должностного лица органа государственного контроля (надзора), органа государственного </w:t>
            </w:r>
            <w:r w:rsidRPr="00D94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      </w:r>
            <w:hyperlink r:id="rId16" w:history="1">
              <w:r w:rsidRPr="00D944B9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14.24</w:t>
              </w:r>
            </w:hyperlink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D944B9">
                <w:rPr>
                  <w:rFonts w:ascii="Times New Roman" w:hAnsi="Times New Roman" w:cs="Times New Roman"/>
                  <w:sz w:val="24"/>
                  <w:szCs w:val="24"/>
                </w:rPr>
                <w:t>частью 9 статьи 15.29</w:t>
              </w:r>
            </w:hyperlink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D944B9">
                <w:rPr>
                  <w:rFonts w:ascii="Times New Roman" w:hAnsi="Times New Roman" w:cs="Times New Roman"/>
                  <w:sz w:val="24"/>
                  <w:szCs w:val="24"/>
                </w:rPr>
                <w:t>статьей 19.4.2</w:t>
              </w:r>
            </w:hyperlink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-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5"/>
            <w:bookmarkEnd w:id="7"/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2. Действия (бездействие), предусмотренные </w:t>
            </w:r>
            <w:hyperlink w:anchor="Par32" w:history="1">
              <w:r w:rsidRPr="00D944B9">
                <w:rPr>
                  <w:rFonts w:ascii="Times New Roman" w:hAnsi="Times New Roman" w:cs="Times New Roman"/>
                  <w:sz w:val="24"/>
                  <w:szCs w:val="24"/>
                </w:rPr>
                <w:t>частью 1</w:t>
              </w:r>
            </w:hyperlink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повлекшие невозможность проведения или завершения проверки, -</w:t>
            </w:r>
          </w:p>
          <w:p w:rsidR="00D944B9" w:rsidRPr="00D944B9" w:rsidRDefault="00D944B9" w:rsidP="00D944B9">
            <w:pPr>
              <w:autoSpaceDE w:val="0"/>
              <w:autoSpaceDN w:val="0"/>
              <w:adjustRightInd w:val="0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3. Повторное совершение административного правонарушения, предусмотренного </w:t>
            </w:r>
            <w:hyperlink w:anchor="Par35" w:history="1">
              <w:r w:rsidRPr="00D944B9">
                <w:rPr>
                  <w:rFonts w:ascii="Times New Roman" w:hAnsi="Times New Roman" w:cs="Times New Roman"/>
                  <w:sz w:val="24"/>
                  <w:szCs w:val="24"/>
                </w:rPr>
                <w:t>частью 2</w:t>
              </w:r>
            </w:hyperlink>
            <w:r w:rsidRPr="00D944B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статьи, -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нарушений законодательства </w:t>
            </w:r>
          </w:p>
          <w:p w:rsidR="00D944B9" w:rsidRPr="00D944B9" w:rsidRDefault="00D944B9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9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AB754E" w:rsidRPr="00A40E44" w:rsidRDefault="00AB754E" w:rsidP="00FB71E0">
            <w:pPr>
              <w:autoSpaceDE w:val="0"/>
              <w:autoSpaceDN w:val="0"/>
              <w:adjustRightInd w:val="0"/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8"/>
            <w:bookmarkStart w:id="9" w:name="Par58"/>
            <w:bookmarkStart w:id="10" w:name="Par62"/>
            <w:bookmarkStart w:id="11" w:name="Par65"/>
            <w:bookmarkStart w:id="12" w:name="Par71"/>
            <w:bookmarkStart w:id="13" w:name="Par82"/>
            <w:bookmarkStart w:id="14" w:name="Par89"/>
            <w:bookmarkStart w:id="15" w:name="Par93"/>
            <w:bookmarkStart w:id="16" w:name="Par97"/>
            <w:bookmarkStart w:id="17" w:name="Par116"/>
            <w:bookmarkStart w:id="18" w:name="Par123"/>
            <w:bookmarkStart w:id="19" w:name="Par143"/>
            <w:bookmarkStart w:id="20" w:name="Par146"/>
            <w:bookmarkStart w:id="21" w:name="Par152"/>
            <w:bookmarkStart w:id="22" w:name="Par164"/>
            <w:bookmarkStart w:id="23" w:name="Par167"/>
            <w:bookmarkStart w:id="24" w:name="Par171"/>
            <w:bookmarkStart w:id="25" w:name="Par17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  <w:tr w:rsidR="001E04CE" w:rsidTr="002E5F91">
        <w:tc>
          <w:tcPr>
            <w:tcW w:w="503" w:type="dxa"/>
          </w:tcPr>
          <w:p w:rsidR="001E04CE" w:rsidRDefault="001E04CE" w:rsidP="0001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02" w:type="dxa"/>
          </w:tcPr>
          <w:p w:rsidR="001E04CE" w:rsidRDefault="001E04CE" w:rsidP="0001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1950" w:type="dxa"/>
          </w:tcPr>
          <w:p w:rsidR="001E04CE" w:rsidRPr="001E04CE" w:rsidRDefault="001E04CE" w:rsidP="0001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8,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1,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8.1,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264,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4CE">
              <w:rPr>
                <w:rFonts w:ascii="Times New Roman" w:hAnsi="Times New Roman" w:cs="Times New Roman"/>
                <w:sz w:val="24"/>
                <w:szCs w:val="24"/>
              </w:rPr>
              <w:t xml:space="preserve"> 269</w:t>
            </w:r>
          </w:p>
        </w:tc>
        <w:tc>
          <w:tcPr>
            <w:tcW w:w="5718" w:type="dxa"/>
          </w:tcPr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8. Основания возникновения гражданских прав и обязанностей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1.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В соответствии с этим гражданские права и обязанности возникают: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1) из договоров и иных сделок, предусмотренных законом, а также из договоров и иных сделок, хотя и не предусмотренных законом, но не противоречащих ему;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1.1) из решений собраний в случаях, предусмотренных законом;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2)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3) из судебного решения, установившего гражданские права и обязанности;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4) в результате приобретения имущества по основаниям, допускаемым законом;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5) в результате создания произведений науки, литературы, искусства, изобретений и иных результатов интеллектуальной деятельности;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6) вследствие причинения вреда другому лицу;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7) вследствие неосновательного обогащения;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8) вследствие иных действий граждан и юридических лиц;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9) вследствие событий, с которыми закон или иной правовой акт связывает наступление гражданско-правовых последствий.</w:t>
            </w:r>
          </w:p>
          <w:p w:rsidR="00016AF5" w:rsidRPr="005A7A13" w:rsidRDefault="00016AF5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A1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8.1. Государственная регистрация прав на имущество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управомоченное</w:t>
            </w:r>
            <w:proofErr w:type="spellEnd"/>
            <w:r w:rsidRPr="00016AF5">
              <w:rPr>
                <w:rFonts w:ascii="Times New Roman" w:hAnsi="Times New Roman" w:cs="Times New Roman"/>
                <w:sz w:val="24"/>
                <w:szCs w:val="24"/>
              </w:rPr>
              <w:t xml:space="preserve"> лицо, содержание права, основание </w:t>
            </w:r>
            <w:r w:rsidRPr="00016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возникновения.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  <w:p w:rsidR="00016AF5" w:rsidRPr="005A7A13" w:rsidRDefault="00016AF5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A1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264. Права на землю лиц, не являющихся собственниками земельных участков</w:t>
            </w:r>
          </w:p>
          <w:p w:rsidR="00016AF5" w:rsidRPr="00016AF5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>3. Владелец земельного участка, не являющийся собственником, не вправе распоряжаться этим участком, если иное не предусмотрено законом.</w:t>
            </w:r>
          </w:p>
          <w:p w:rsidR="00016AF5" w:rsidRPr="005A7A13" w:rsidRDefault="00016AF5" w:rsidP="00FB71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A1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269. Владение и пользование землей на праве постоянного (бессрочного) пользования</w:t>
            </w:r>
          </w:p>
          <w:p w:rsidR="001E04CE" w:rsidRPr="00FB71E0" w:rsidRDefault="00016AF5" w:rsidP="00FB7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F5">
              <w:rPr>
                <w:rFonts w:ascii="Times New Roman" w:hAnsi="Times New Roman" w:cs="Times New Roman"/>
                <w:sz w:val="24"/>
                <w:szCs w:val="24"/>
              </w:rPr>
              <w:t xml:space="preserve">3. Лица, которым земельные участки предоставлены в постоянное (бессрочное) пользование, не вправе распоряжаться такими земельными участками,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</w:t>
            </w:r>
            <w:hyperlink r:id="rId19" w:history="1">
              <w:r w:rsidRPr="00016AF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016A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</w:tr>
    </w:tbl>
    <w:p w:rsidR="00B43281" w:rsidRDefault="00B43281" w:rsidP="00D035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281" w:rsidRPr="00B43281" w:rsidRDefault="00B43281" w:rsidP="00D035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281" w:rsidRPr="00B43281" w:rsidSect="0037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B8E"/>
    <w:multiLevelType w:val="hybridMultilevel"/>
    <w:tmpl w:val="4BF2E3DC"/>
    <w:lvl w:ilvl="0" w:tplc="7B1C57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A33E3"/>
    <w:multiLevelType w:val="hybridMultilevel"/>
    <w:tmpl w:val="0A5CA97C"/>
    <w:lvl w:ilvl="0" w:tplc="5EAE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06535"/>
    <w:multiLevelType w:val="hybridMultilevel"/>
    <w:tmpl w:val="4BF2E3DC"/>
    <w:lvl w:ilvl="0" w:tplc="7B1C57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09764F"/>
    <w:multiLevelType w:val="hybridMultilevel"/>
    <w:tmpl w:val="89A28EDE"/>
    <w:lvl w:ilvl="0" w:tplc="8C3690E0">
      <w:start w:val="3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3AD1"/>
    <w:rsid w:val="00016AF5"/>
    <w:rsid w:val="00085DAB"/>
    <w:rsid w:val="00182563"/>
    <w:rsid w:val="001A4D8F"/>
    <w:rsid w:val="001B583C"/>
    <w:rsid w:val="001E04CE"/>
    <w:rsid w:val="001F0B3C"/>
    <w:rsid w:val="00254A10"/>
    <w:rsid w:val="00272450"/>
    <w:rsid w:val="00276F4B"/>
    <w:rsid w:val="002A4806"/>
    <w:rsid w:val="002D7FB9"/>
    <w:rsid w:val="002E5F91"/>
    <w:rsid w:val="00317E1D"/>
    <w:rsid w:val="00375699"/>
    <w:rsid w:val="003C66F4"/>
    <w:rsid w:val="00407138"/>
    <w:rsid w:val="00497E10"/>
    <w:rsid w:val="00587EC4"/>
    <w:rsid w:val="005A7A13"/>
    <w:rsid w:val="005B3980"/>
    <w:rsid w:val="00636B20"/>
    <w:rsid w:val="006401C4"/>
    <w:rsid w:val="006C3CD9"/>
    <w:rsid w:val="007413C5"/>
    <w:rsid w:val="007C27C8"/>
    <w:rsid w:val="008A2B0E"/>
    <w:rsid w:val="008F5912"/>
    <w:rsid w:val="009027BF"/>
    <w:rsid w:val="009323E5"/>
    <w:rsid w:val="00945D5B"/>
    <w:rsid w:val="00961C3D"/>
    <w:rsid w:val="009A3AD1"/>
    <w:rsid w:val="009F46AF"/>
    <w:rsid w:val="00A12DDF"/>
    <w:rsid w:val="00A3101D"/>
    <w:rsid w:val="00A40E44"/>
    <w:rsid w:val="00A63DBD"/>
    <w:rsid w:val="00AB4367"/>
    <w:rsid w:val="00AB754E"/>
    <w:rsid w:val="00B13056"/>
    <w:rsid w:val="00B43281"/>
    <w:rsid w:val="00B64FAA"/>
    <w:rsid w:val="00B72AC2"/>
    <w:rsid w:val="00BA031E"/>
    <w:rsid w:val="00BD5B6D"/>
    <w:rsid w:val="00BF1279"/>
    <w:rsid w:val="00D0352F"/>
    <w:rsid w:val="00D0402B"/>
    <w:rsid w:val="00D86333"/>
    <w:rsid w:val="00D944B9"/>
    <w:rsid w:val="00DA5232"/>
    <w:rsid w:val="00DF6911"/>
    <w:rsid w:val="00E66BE8"/>
    <w:rsid w:val="00E8044D"/>
    <w:rsid w:val="00E93EB7"/>
    <w:rsid w:val="00F272D1"/>
    <w:rsid w:val="00FB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8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4FA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AB73FCB380F5C8D29615FC3F5CAEE312211A7066AF67E97109AC02036462D3CEC8FAC55427912027BFC62963418685B3DB6FFA8A06CCFTFY0A" TargetMode="External"/><Relationship Id="rId13" Type="http://schemas.openxmlformats.org/officeDocument/2006/relationships/hyperlink" Target="consultantplus://offline/ref=063181F24BB000F0DD976D2FE08078C8C46BFBDA6440B04B2C4F0BD1BA72C4D43F8E6830369EBDE5C82D76EC8BkDp6X" TargetMode="External"/><Relationship Id="rId18" Type="http://schemas.openxmlformats.org/officeDocument/2006/relationships/hyperlink" Target="consultantplus://offline/ref=F286DB39CA223D8880F84B8DB7BAE2CAB1302C9B58040F6EC002B8C6C4C0E5B30DBBE4BA09516B0ECD4F313B0708D605809599657864W5tC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51A483C81D1ACCF4D9FC21671883AB06E2101CBE0BE1F7C8A4F8836AAA1567B4EBE914A5698E8D9B1D478BA79ADX7A" TargetMode="External"/><Relationship Id="rId12" Type="http://schemas.openxmlformats.org/officeDocument/2006/relationships/hyperlink" Target="consultantplus://offline/ref=063181F24BB000F0DD976D2FE08078C8C46BFBDA6440B04B2C4F0BD1BA72C4D43F8E6830369EBDE5C82D76EC8BkDp6X" TargetMode="External"/><Relationship Id="rId17" Type="http://schemas.openxmlformats.org/officeDocument/2006/relationships/hyperlink" Target="consultantplus://offline/ref=F286DB39CA223D8880F84B8DB7BAE2CAB1302C9B58040F6EC002B8C6C4C0E5B30DBBE4BE045D6B0ECD4F313B0708D605809599657864W5tC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86DB39CA223D8880F84B8DB7BAE2CAB1302C9B58040F6EC002B8C6C4C0E5B30DBBE4BF0B526A0ECD4F313B0708D605809599657864W5tC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1A483C81D1ACCF4D9FC21671883AB06E2103C9E9B11F7C8A4F8836AAA1567B5CBEC946569BF7DDBAC12EEB3F83B895B84A459901BDB050A3XDA" TargetMode="External"/><Relationship Id="rId11" Type="http://schemas.openxmlformats.org/officeDocument/2006/relationships/hyperlink" Target="consultantplus://offline/ref=063181F24BB000F0DD976D2FE08078C8C46AFCDD654BB04B2C4F0BD1BA72C4D42D8E303C3698A3E5CA3820BDCD8213B64D5F4B8327F30A61k8p6X" TargetMode="External"/><Relationship Id="rId5" Type="http://schemas.openxmlformats.org/officeDocument/2006/relationships/hyperlink" Target="consultantplus://offline/ref=C51A483C81D1ACCF4D9FC21671883AB06E2103C9E9B11F7C8A4F8836AAA1567B5CBEC946569BF7DAB5C12EEB3F83B895B84A459901BDB050A3XDA" TargetMode="External"/><Relationship Id="rId15" Type="http://schemas.openxmlformats.org/officeDocument/2006/relationships/hyperlink" Target="consultantplus://offline/ref=063181F24BB000F0DD976D2FE08078C8C46BFBDA6440B04B2C4F0BD1BA72C4D42D8E30393DCCF2A09F3E74EA97D61CA8494148k8p0X" TargetMode="External"/><Relationship Id="rId10" Type="http://schemas.openxmlformats.org/officeDocument/2006/relationships/hyperlink" Target="consultantplus://offline/ref=20B0C0211DD135465C6BE223F6B98EB179D7A23A491DAB3E218770A3F721EF8B2FDCD7430ED20467E6F093BEC0AF24B9527A12058367A2F9iBn1X" TargetMode="External"/><Relationship Id="rId19" Type="http://schemas.openxmlformats.org/officeDocument/2006/relationships/hyperlink" Target="consultantplus://offline/ref=E0CBE49CB26204C68B84A18C3C0FB2B31A9AA699BE8B8FD3000F73AB0628F28446EF493A187B5979B85E152E17F5A35F311628A7ADi5X7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74DC4E9DEF2039AB1D175710BDFEF553CC2D75EB846A0DCB12A137E3405C7C12D21BF9480D7A204301C5C669B1F168EE0AD02D3D1438AEI6n2X" TargetMode="External"/><Relationship Id="rId14" Type="http://schemas.openxmlformats.org/officeDocument/2006/relationships/hyperlink" Target="consultantplus://offline/ref=063181F24BB000F0DD976D2FE08078C8C46BFBDA6440B04B2C4F0BD1BA72C4D43F8E6830369EBDE5C82D76EC8BkDp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2021-12-05T23:49:00Z</cp:lastPrinted>
  <dcterms:created xsi:type="dcterms:W3CDTF">2022-01-25T00:11:00Z</dcterms:created>
  <dcterms:modified xsi:type="dcterms:W3CDTF">2022-03-10T08:43:00Z</dcterms:modified>
</cp:coreProperties>
</file>